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1F8" w:rsidRDefault="008C31F8" w:rsidP="008C31F8">
      <w:pPr>
        <w:spacing w:after="0" w:line="480" w:lineRule="auto"/>
        <w:jc w:val="center"/>
        <w:rPr>
          <w:rFonts w:ascii="Times New Roman" w:hAnsi="Times New Roman" w:cs="Times New Roman"/>
          <w:sz w:val="24"/>
          <w:szCs w:val="24"/>
        </w:rPr>
      </w:pPr>
    </w:p>
    <w:p w:rsidR="008C31F8" w:rsidRDefault="008C31F8" w:rsidP="008C31F8">
      <w:pPr>
        <w:spacing w:after="0" w:line="480" w:lineRule="auto"/>
        <w:jc w:val="center"/>
        <w:rPr>
          <w:rFonts w:ascii="Times New Roman" w:hAnsi="Times New Roman" w:cs="Times New Roman"/>
          <w:sz w:val="24"/>
          <w:szCs w:val="24"/>
        </w:rPr>
      </w:pPr>
    </w:p>
    <w:p w:rsidR="008C31F8" w:rsidRDefault="008C31F8" w:rsidP="008C31F8">
      <w:pPr>
        <w:spacing w:after="0" w:line="480" w:lineRule="auto"/>
        <w:jc w:val="center"/>
        <w:rPr>
          <w:rFonts w:ascii="Times New Roman" w:hAnsi="Times New Roman" w:cs="Times New Roman"/>
          <w:sz w:val="24"/>
          <w:szCs w:val="24"/>
        </w:rPr>
      </w:pPr>
    </w:p>
    <w:p w:rsidR="008C31F8" w:rsidRPr="008C31F8" w:rsidRDefault="008C31F8" w:rsidP="008C31F8">
      <w:pPr>
        <w:spacing w:after="0" w:line="480" w:lineRule="auto"/>
        <w:jc w:val="center"/>
        <w:rPr>
          <w:rFonts w:ascii="Times New Roman" w:hAnsi="Times New Roman" w:cs="Times New Roman"/>
          <w:sz w:val="24"/>
          <w:szCs w:val="24"/>
        </w:rPr>
      </w:pPr>
      <w:r w:rsidRPr="008C31F8">
        <w:rPr>
          <w:rFonts w:ascii="Times New Roman" w:hAnsi="Times New Roman" w:cs="Times New Roman"/>
          <w:sz w:val="24"/>
          <w:szCs w:val="24"/>
        </w:rPr>
        <w:t>Consulting Firm S</w:t>
      </w:r>
      <w:r w:rsidRPr="008C31F8">
        <w:rPr>
          <w:rFonts w:ascii="Times New Roman" w:hAnsi="Times New Roman" w:cs="Times New Roman"/>
          <w:sz w:val="24"/>
          <w:szCs w:val="24"/>
          <w:lang w:val="en-GB"/>
        </w:rPr>
        <w:t>trategic Analysis</w:t>
      </w:r>
    </w:p>
    <w:p w:rsidR="008C31F8" w:rsidRPr="008C31F8" w:rsidRDefault="008C31F8" w:rsidP="008C31F8">
      <w:pPr>
        <w:spacing w:after="0" w:line="480" w:lineRule="auto"/>
        <w:jc w:val="center"/>
        <w:rPr>
          <w:rFonts w:ascii="Times New Roman" w:hAnsi="Times New Roman" w:cs="Times New Roman"/>
          <w:sz w:val="24"/>
          <w:szCs w:val="24"/>
        </w:rPr>
      </w:pPr>
      <w:r w:rsidRPr="008C31F8">
        <w:rPr>
          <w:rFonts w:ascii="Times New Roman" w:hAnsi="Times New Roman" w:cs="Times New Roman"/>
          <w:sz w:val="24"/>
          <w:szCs w:val="24"/>
        </w:rPr>
        <w:t>Student’s Name</w:t>
      </w:r>
    </w:p>
    <w:p w:rsidR="008C31F8" w:rsidRPr="008C31F8" w:rsidRDefault="008C31F8" w:rsidP="008C31F8">
      <w:pPr>
        <w:spacing w:after="0" w:line="480" w:lineRule="auto"/>
        <w:jc w:val="center"/>
        <w:rPr>
          <w:rFonts w:ascii="Times New Roman" w:hAnsi="Times New Roman" w:cs="Times New Roman"/>
          <w:sz w:val="24"/>
          <w:szCs w:val="24"/>
        </w:rPr>
      </w:pPr>
      <w:r w:rsidRPr="008C31F8">
        <w:rPr>
          <w:rFonts w:ascii="Times New Roman" w:hAnsi="Times New Roman" w:cs="Times New Roman"/>
          <w:sz w:val="24"/>
          <w:szCs w:val="24"/>
        </w:rPr>
        <w:t>Institution Affiliation</w:t>
      </w:r>
    </w:p>
    <w:p w:rsidR="008C31F8" w:rsidRPr="008C31F8" w:rsidRDefault="008C31F8" w:rsidP="008C31F8">
      <w:pPr>
        <w:spacing w:after="0" w:line="480" w:lineRule="auto"/>
        <w:jc w:val="center"/>
        <w:rPr>
          <w:rFonts w:ascii="Times New Roman" w:hAnsi="Times New Roman" w:cs="Times New Roman"/>
          <w:sz w:val="24"/>
          <w:szCs w:val="24"/>
        </w:rPr>
      </w:pPr>
      <w:r w:rsidRPr="008C31F8">
        <w:rPr>
          <w:rFonts w:ascii="Times New Roman" w:hAnsi="Times New Roman" w:cs="Times New Roman"/>
          <w:sz w:val="24"/>
          <w:szCs w:val="24"/>
        </w:rPr>
        <w:t>Course</w:t>
      </w:r>
    </w:p>
    <w:p w:rsidR="008C31F8" w:rsidRPr="008C31F8" w:rsidRDefault="008C31F8" w:rsidP="008C31F8">
      <w:pPr>
        <w:spacing w:after="0" w:line="480" w:lineRule="auto"/>
        <w:jc w:val="center"/>
        <w:rPr>
          <w:rFonts w:ascii="Times New Roman" w:hAnsi="Times New Roman" w:cs="Times New Roman"/>
          <w:sz w:val="24"/>
          <w:szCs w:val="24"/>
        </w:rPr>
      </w:pPr>
      <w:r w:rsidRPr="008C31F8">
        <w:rPr>
          <w:rFonts w:ascii="Times New Roman" w:hAnsi="Times New Roman" w:cs="Times New Roman"/>
          <w:sz w:val="24"/>
          <w:szCs w:val="24"/>
        </w:rPr>
        <w:t>Tutor</w:t>
      </w:r>
    </w:p>
    <w:p w:rsidR="008C31F8" w:rsidRPr="008C31F8" w:rsidRDefault="008C31F8" w:rsidP="008C31F8">
      <w:pPr>
        <w:spacing w:after="0" w:line="480" w:lineRule="auto"/>
        <w:jc w:val="center"/>
        <w:rPr>
          <w:rFonts w:ascii="Times New Roman" w:hAnsi="Times New Roman" w:cs="Times New Roman"/>
          <w:sz w:val="24"/>
          <w:szCs w:val="24"/>
        </w:rPr>
      </w:pPr>
      <w:r w:rsidRPr="008C31F8">
        <w:rPr>
          <w:rFonts w:ascii="Times New Roman" w:hAnsi="Times New Roman" w:cs="Times New Roman"/>
          <w:sz w:val="24"/>
          <w:szCs w:val="24"/>
        </w:rPr>
        <w:t>Date</w:t>
      </w:r>
    </w:p>
    <w:p w:rsidR="008C31F8" w:rsidRPr="008C31F8" w:rsidRDefault="008C31F8" w:rsidP="008C31F8">
      <w:pPr>
        <w:spacing w:after="0" w:line="480" w:lineRule="auto"/>
        <w:rPr>
          <w:rFonts w:ascii="Times New Roman" w:hAnsi="Times New Roman" w:cs="Times New Roman"/>
          <w:sz w:val="24"/>
          <w:szCs w:val="24"/>
        </w:rPr>
      </w:pPr>
      <w:r w:rsidRPr="008C31F8">
        <w:rPr>
          <w:rFonts w:ascii="Times New Roman" w:hAnsi="Times New Roman" w:cs="Times New Roman"/>
          <w:sz w:val="24"/>
          <w:szCs w:val="24"/>
        </w:rPr>
        <w:br w:type="page"/>
      </w:r>
    </w:p>
    <w:p w:rsidR="008C31F8" w:rsidRPr="008C31F8" w:rsidRDefault="008C31F8" w:rsidP="008C31F8">
      <w:pPr>
        <w:spacing w:after="0" w:line="480" w:lineRule="auto"/>
        <w:jc w:val="center"/>
        <w:rPr>
          <w:rFonts w:ascii="Times New Roman" w:hAnsi="Times New Roman" w:cs="Times New Roman"/>
          <w:sz w:val="24"/>
          <w:szCs w:val="24"/>
        </w:rPr>
      </w:pPr>
      <w:r w:rsidRPr="008C31F8">
        <w:rPr>
          <w:rFonts w:ascii="Times New Roman" w:hAnsi="Times New Roman" w:cs="Times New Roman"/>
          <w:sz w:val="24"/>
          <w:szCs w:val="24"/>
        </w:rPr>
        <w:lastRenderedPageBreak/>
        <w:t>Consulting Firm SWOT Analysis</w:t>
      </w:r>
    </w:p>
    <w:p w:rsidR="008C31F8" w:rsidRPr="008C31F8" w:rsidRDefault="008C31F8" w:rsidP="008C31F8">
      <w:pPr>
        <w:spacing w:after="0" w:line="480" w:lineRule="auto"/>
        <w:rPr>
          <w:rFonts w:ascii="Times New Roman" w:hAnsi="Times New Roman" w:cs="Times New Roman"/>
          <w:sz w:val="24"/>
          <w:szCs w:val="24"/>
        </w:rPr>
      </w:pPr>
      <w:r w:rsidRPr="008C31F8">
        <w:rPr>
          <w:rFonts w:ascii="Times New Roman" w:hAnsi="Times New Roman" w:cs="Times New Roman"/>
          <w:sz w:val="24"/>
          <w:szCs w:val="24"/>
        </w:rPr>
        <w:t>Jackie and Sandra's firm SWOT Analysis will concentrate on the firm and its strength, Weaknesses, Opportunities, and Threats. The firm will have to face challenges; however, how they recoup and adapt to them will be vital in its operations. The SWOT analysis suggests that the firm will need to invest more in its process to expand its services to another state. Legal guidelines/compliance are yet an issue confronting the healthcare industry as they guarantee data security.</w:t>
      </w:r>
    </w:p>
    <w:p w:rsidR="008C31F8" w:rsidRPr="008C31F8" w:rsidRDefault="008C31F8" w:rsidP="008C31F8">
      <w:pPr>
        <w:spacing w:after="0" w:line="480" w:lineRule="auto"/>
        <w:rPr>
          <w:rFonts w:ascii="Times New Roman" w:hAnsi="Times New Roman" w:cs="Times New Roman"/>
          <w:b/>
          <w:sz w:val="24"/>
          <w:szCs w:val="24"/>
        </w:rPr>
      </w:pPr>
      <w:r w:rsidRPr="008C31F8">
        <w:rPr>
          <w:rFonts w:ascii="Times New Roman" w:hAnsi="Times New Roman" w:cs="Times New Roman"/>
          <w:b/>
          <w:sz w:val="24"/>
          <w:szCs w:val="24"/>
        </w:rPr>
        <w:t>Strength</w:t>
      </w:r>
    </w:p>
    <w:p w:rsidR="008C31F8" w:rsidRPr="008C31F8" w:rsidRDefault="008C31F8" w:rsidP="008C31F8">
      <w:pPr>
        <w:spacing w:after="0" w:line="480" w:lineRule="auto"/>
        <w:rPr>
          <w:rFonts w:ascii="Times New Roman" w:hAnsi="Times New Roman" w:cs="Times New Roman"/>
          <w:sz w:val="24"/>
          <w:szCs w:val="24"/>
        </w:rPr>
      </w:pPr>
      <w:r w:rsidRPr="008C31F8">
        <w:rPr>
          <w:rFonts w:ascii="Times New Roman" w:hAnsi="Times New Roman" w:cs="Times New Roman"/>
          <w:sz w:val="24"/>
          <w:szCs w:val="24"/>
        </w:rPr>
        <w:t>Sandra and Jackie have five years in health information, having an excellent reputation for excellence. Their firm has done well in their job and has increased reimbursement for the thirty-five facilities they have worked with. Albeit challenges at times, the firm is very good at innovation. It keeps up to date all advances in its field of aptitude and applies the directive management style when training other employees. The firm is entrepreneurial and innovative, and it has accomplished exceptional work in administrative consistence through volunteering to ensure that the reporting on all the centers is finished. Also, their employees are registered health administrators with a bachelor’s degree in health administration, which makes them informed and skilled in contacting consultation services.</w:t>
      </w:r>
    </w:p>
    <w:p w:rsidR="008C31F8" w:rsidRPr="008C31F8" w:rsidRDefault="008C31F8" w:rsidP="008C31F8">
      <w:pPr>
        <w:spacing w:after="0" w:line="480" w:lineRule="auto"/>
        <w:rPr>
          <w:rFonts w:ascii="Times New Roman" w:hAnsi="Times New Roman" w:cs="Times New Roman"/>
          <w:sz w:val="24"/>
          <w:szCs w:val="24"/>
        </w:rPr>
      </w:pPr>
      <w:r w:rsidRPr="008C31F8">
        <w:rPr>
          <w:rFonts w:ascii="Times New Roman" w:hAnsi="Times New Roman" w:cs="Times New Roman"/>
          <w:b/>
          <w:sz w:val="24"/>
          <w:szCs w:val="24"/>
        </w:rPr>
        <w:t xml:space="preserve">Weaknesses </w:t>
      </w:r>
    </w:p>
    <w:p w:rsidR="008C31F8" w:rsidRPr="008C31F8" w:rsidRDefault="008C31F8" w:rsidP="008C31F8">
      <w:pPr>
        <w:spacing w:after="0" w:line="480" w:lineRule="auto"/>
        <w:rPr>
          <w:rFonts w:ascii="Times New Roman" w:hAnsi="Times New Roman" w:cs="Times New Roman"/>
          <w:sz w:val="24"/>
          <w:szCs w:val="24"/>
        </w:rPr>
      </w:pPr>
      <w:r w:rsidRPr="008C31F8">
        <w:rPr>
          <w:rFonts w:ascii="Times New Roman" w:hAnsi="Times New Roman" w:cs="Times New Roman"/>
          <w:sz w:val="24"/>
          <w:szCs w:val="24"/>
        </w:rPr>
        <w:t xml:space="preserve">The weaknesses of the firm are that, tragically, its employees are, to some extent, opinionated and pompous and feels nobody knows more than they do in their specialization, handling computers, or giving out consultation services. Despite the firm accomplishing its goals in all the facilities it has ever worked in, it tends to push its employees excessively hard. Besides, the firm does not have enough employees to expand the geographical region into another state. Jackie and Sandra's firm does not have enough finances to motivate its employees and retain them for long, especially those who are knowledgeable with degrees in health </w:t>
      </w:r>
      <w:r w:rsidRPr="008C31F8">
        <w:rPr>
          <w:rFonts w:ascii="Times New Roman" w:hAnsi="Times New Roman" w:cs="Times New Roman"/>
          <w:sz w:val="24"/>
          <w:szCs w:val="24"/>
        </w:rPr>
        <w:lastRenderedPageBreak/>
        <w:t xml:space="preserve">administration since they tend to get attracted by major firms for increased salaries. The firm has also not marketed its services to other states, which would mean an extra cost and expenses. </w:t>
      </w:r>
    </w:p>
    <w:p w:rsidR="008C31F8" w:rsidRPr="008C31F8" w:rsidRDefault="008C31F8" w:rsidP="008C31F8">
      <w:pPr>
        <w:spacing w:after="0" w:line="480" w:lineRule="auto"/>
        <w:rPr>
          <w:rFonts w:ascii="Times New Roman" w:hAnsi="Times New Roman" w:cs="Times New Roman"/>
          <w:sz w:val="24"/>
          <w:szCs w:val="24"/>
        </w:rPr>
      </w:pPr>
      <w:r w:rsidRPr="008C31F8">
        <w:rPr>
          <w:rFonts w:ascii="Times New Roman" w:hAnsi="Times New Roman" w:cs="Times New Roman"/>
          <w:b/>
          <w:sz w:val="24"/>
          <w:szCs w:val="24"/>
        </w:rPr>
        <w:t xml:space="preserve">Opportunities </w:t>
      </w:r>
    </w:p>
    <w:p w:rsidR="008C31F8" w:rsidRPr="008C31F8" w:rsidRDefault="008C31F8" w:rsidP="008C31F8">
      <w:pPr>
        <w:spacing w:after="0" w:line="480" w:lineRule="auto"/>
        <w:rPr>
          <w:rFonts w:ascii="Times New Roman" w:hAnsi="Times New Roman" w:cs="Times New Roman"/>
          <w:sz w:val="24"/>
          <w:szCs w:val="24"/>
        </w:rPr>
      </w:pPr>
      <w:r w:rsidRPr="008C31F8">
        <w:rPr>
          <w:rFonts w:ascii="Times New Roman" w:hAnsi="Times New Roman" w:cs="Times New Roman"/>
          <w:sz w:val="24"/>
          <w:szCs w:val="24"/>
        </w:rPr>
        <w:t xml:space="preserve">According to Brian, there is a need for additional home health care personnel and resources in the nearby hospital, which would be an excellent opportunity for the firm to expand its services. The firm will also develop home health care that will fill the existing market niche. Since the firm has enough expertise to train competent staff and handle practice offices, it can expand its businesses into physician offices. According to Brand essence market research (2020), few firms and individuals have started consulting firms in the United States. It is a new type of business that is attracting the interest of many hospitals and health facilities. By expanding its services to another state, the firm will get itself a lot of health facilities to work with. </w:t>
      </w:r>
    </w:p>
    <w:p w:rsidR="008C31F8" w:rsidRPr="008C31F8" w:rsidRDefault="008C31F8" w:rsidP="008C31F8">
      <w:pPr>
        <w:spacing w:after="0" w:line="480" w:lineRule="auto"/>
        <w:rPr>
          <w:rFonts w:ascii="Times New Roman" w:hAnsi="Times New Roman" w:cs="Times New Roman"/>
          <w:b/>
          <w:sz w:val="24"/>
          <w:szCs w:val="24"/>
        </w:rPr>
      </w:pPr>
      <w:r w:rsidRPr="008C31F8">
        <w:rPr>
          <w:rFonts w:ascii="Times New Roman" w:hAnsi="Times New Roman" w:cs="Times New Roman"/>
          <w:b/>
          <w:sz w:val="24"/>
          <w:szCs w:val="24"/>
        </w:rPr>
        <w:t>Threats</w:t>
      </w:r>
    </w:p>
    <w:p w:rsidR="008C31F8" w:rsidRPr="008C31F8" w:rsidRDefault="008C31F8" w:rsidP="008C31F8">
      <w:pPr>
        <w:spacing w:after="0" w:line="480" w:lineRule="auto"/>
        <w:rPr>
          <w:rFonts w:ascii="Times New Roman" w:hAnsi="Times New Roman" w:cs="Times New Roman"/>
          <w:sz w:val="24"/>
          <w:szCs w:val="24"/>
        </w:rPr>
      </w:pPr>
      <w:r w:rsidRPr="008C31F8">
        <w:rPr>
          <w:rFonts w:ascii="Times New Roman" w:hAnsi="Times New Roman" w:cs="Times New Roman"/>
          <w:sz w:val="24"/>
          <w:szCs w:val="24"/>
        </w:rPr>
        <w:t>The firm will have to be keen on the threats that might arise from the internal security leak, which might end up leaking patients' private profiles and information. Also, the existing consultation firms that are owned by the government and wealthy corporations possess a vast threat to Jackie and Sandra's firm</w:t>
      </w:r>
      <w:r w:rsidRPr="008C31F8">
        <w:rPr>
          <w:rFonts w:ascii="Times New Roman" w:hAnsi="Times New Roman" w:cs="Times New Roman"/>
          <w:sz w:val="24"/>
          <w:szCs w:val="24"/>
          <w:shd w:val="clear" w:color="auto" w:fill="FFFFFF"/>
        </w:rPr>
        <w:t>(Hughes, 2019)</w:t>
      </w:r>
      <w:r w:rsidRPr="008C31F8">
        <w:rPr>
          <w:rFonts w:ascii="Times New Roman" w:hAnsi="Times New Roman" w:cs="Times New Roman"/>
          <w:sz w:val="24"/>
          <w:szCs w:val="24"/>
        </w:rPr>
        <w:t xml:space="preserve">. Furthermore, operating in another geographical region might take time for adaptation without earning the firm enough, thus experience a loss. The firm might also end up losing its best employees to established firms </w:t>
      </w:r>
      <w:r w:rsidRPr="008C31F8">
        <w:rPr>
          <w:rFonts w:ascii="Times New Roman" w:hAnsi="Times New Roman" w:cs="Times New Roman"/>
          <w:sz w:val="24"/>
          <w:szCs w:val="24"/>
          <w:shd w:val="clear" w:color="auto" w:fill="FFFFFF"/>
        </w:rPr>
        <w:t>(Florentine, 2019)</w:t>
      </w:r>
      <w:r w:rsidRPr="008C31F8">
        <w:rPr>
          <w:rFonts w:ascii="Times New Roman" w:hAnsi="Times New Roman" w:cs="Times New Roman"/>
          <w:sz w:val="24"/>
          <w:szCs w:val="24"/>
        </w:rPr>
        <w:t xml:space="preserve">. </w:t>
      </w:r>
    </w:p>
    <w:p w:rsidR="008C31F8" w:rsidRPr="008C31F8" w:rsidRDefault="008C31F8" w:rsidP="008C31F8">
      <w:pPr>
        <w:spacing w:after="0" w:line="480" w:lineRule="auto"/>
        <w:rPr>
          <w:rFonts w:ascii="Times New Roman" w:hAnsi="Times New Roman" w:cs="Times New Roman"/>
          <w:sz w:val="24"/>
          <w:szCs w:val="24"/>
        </w:rPr>
      </w:pPr>
    </w:p>
    <w:p w:rsidR="008C31F8" w:rsidRPr="008C31F8" w:rsidRDefault="008C31F8" w:rsidP="008C31F8">
      <w:pPr>
        <w:spacing w:after="0" w:line="480" w:lineRule="auto"/>
        <w:jc w:val="center"/>
        <w:rPr>
          <w:rFonts w:ascii="Times New Roman" w:hAnsi="Times New Roman" w:cs="Times New Roman"/>
          <w:sz w:val="24"/>
          <w:szCs w:val="24"/>
          <w:lang w:val="en-GB"/>
        </w:rPr>
      </w:pPr>
    </w:p>
    <w:p w:rsidR="008C31F8" w:rsidRPr="008C31F8" w:rsidRDefault="008C31F8" w:rsidP="008C31F8">
      <w:pPr>
        <w:spacing w:after="0" w:line="480" w:lineRule="auto"/>
        <w:jc w:val="center"/>
        <w:rPr>
          <w:rFonts w:ascii="Times New Roman" w:hAnsi="Times New Roman" w:cs="Times New Roman"/>
          <w:b/>
          <w:bCs/>
          <w:sz w:val="24"/>
          <w:szCs w:val="24"/>
          <w:lang w:val="en-GB"/>
        </w:rPr>
      </w:pPr>
      <w:r w:rsidRPr="008C31F8">
        <w:rPr>
          <w:rFonts w:ascii="Times New Roman" w:hAnsi="Times New Roman" w:cs="Times New Roman"/>
          <w:b/>
          <w:bCs/>
          <w:sz w:val="24"/>
          <w:szCs w:val="24"/>
          <w:lang w:val="en-GB"/>
        </w:rPr>
        <w:t xml:space="preserve">  </w:t>
      </w:r>
    </w:p>
    <w:p w:rsidR="008C31F8" w:rsidRPr="008C31F8" w:rsidRDefault="008C31F8" w:rsidP="008C31F8">
      <w:pPr>
        <w:spacing w:after="0" w:line="480" w:lineRule="auto"/>
        <w:jc w:val="center"/>
        <w:rPr>
          <w:rFonts w:ascii="Times New Roman" w:hAnsi="Times New Roman" w:cs="Times New Roman"/>
          <w:b/>
          <w:bCs/>
          <w:sz w:val="24"/>
          <w:szCs w:val="24"/>
          <w:lang w:val="en-GB"/>
        </w:rPr>
      </w:pPr>
    </w:p>
    <w:p w:rsidR="008C31F8" w:rsidRPr="008C31F8" w:rsidRDefault="008C31F8" w:rsidP="008C31F8">
      <w:pPr>
        <w:spacing w:after="0" w:line="480" w:lineRule="auto"/>
        <w:jc w:val="center"/>
        <w:rPr>
          <w:rFonts w:ascii="Times New Roman" w:hAnsi="Times New Roman" w:cs="Times New Roman"/>
          <w:b/>
          <w:bCs/>
          <w:sz w:val="24"/>
          <w:szCs w:val="24"/>
        </w:rPr>
      </w:pPr>
      <w:r w:rsidRPr="008C31F8">
        <w:rPr>
          <w:rFonts w:ascii="Times New Roman" w:hAnsi="Times New Roman" w:cs="Times New Roman"/>
          <w:b/>
          <w:bCs/>
          <w:sz w:val="24"/>
          <w:szCs w:val="24"/>
          <w:lang w:val="en-GB"/>
        </w:rPr>
        <w:lastRenderedPageBreak/>
        <w:t>Consulting Firm Business plan</w:t>
      </w:r>
    </w:p>
    <w:p w:rsidR="008C31F8" w:rsidRPr="008C31F8" w:rsidRDefault="008C31F8" w:rsidP="008C31F8">
      <w:pPr>
        <w:spacing w:after="0" w:line="480" w:lineRule="auto"/>
        <w:ind w:firstLine="720"/>
        <w:jc w:val="center"/>
        <w:rPr>
          <w:rFonts w:ascii="Times New Roman" w:hAnsi="Times New Roman" w:cs="Times New Roman"/>
          <w:sz w:val="24"/>
          <w:szCs w:val="24"/>
        </w:rPr>
      </w:pPr>
      <w:r w:rsidRPr="008C31F8">
        <w:rPr>
          <w:rFonts w:ascii="Times New Roman" w:hAnsi="Times New Roman" w:cs="Times New Roman"/>
          <w:b/>
          <w:bCs/>
          <w:sz w:val="24"/>
          <w:szCs w:val="24"/>
          <w:lang w:val="en-GB"/>
        </w:rPr>
        <w:t>Executive Summary</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sz w:val="24"/>
          <w:szCs w:val="24"/>
          <w:lang w:val="en-GB"/>
        </w:rPr>
        <w:t xml:space="preserve">Jacky and Sandra's firm is a consulting firm that focuses on the management of revenue for medical practices and other facilities. The firm's primary focus is corporate compliance and QM reporting system implementation, software optimization for third parties, IT system execution and implementation, implementation and operation of FQHC, review, and redesign of processes, financial reporting, and revenue cycle management. Every one of these opportunity sections straightforwardly influences the income of the present clinical practice. Each consulting administration is custom-made to the association's individual needs. Regardless of whether it is persistent access and stream, doctor efficiency, doctor fulfilment, reporting, or reimbursement issues, Sandra and Jackie’s consultation firm has the capacity and experience to convey answers to each association. Besides, the firm provides administrations to explore the new impetus programs for various payers to income increment. Today, numerous firms that offer healthcare consulting services have an essential focal point of medical clinics. The sole focal point of this firm is clinical practice. Regardless of whether the customer is an independent practice, emergency clinic claimed practice, scholarly practice, or a coordinated practice, we can support you. Jackie and Sandra have had an exhibited involvement with working with customers to determine issues, lessen costs, improve income, and execute Best Practice conventions. </w:t>
      </w:r>
    </w:p>
    <w:p w:rsidR="008C31F8" w:rsidRPr="008C31F8" w:rsidRDefault="008C31F8" w:rsidP="008C31F8">
      <w:pPr>
        <w:spacing w:after="0" w:line="480" w:lineRule="auto"/>
        <w:rPr>
          <w:rFonts w:ascii="Times New Roman" w:hAnsi="Times New Roman" w:cs="Times New Roman"/>
          <w:sz w:val="24"/>
          <w:szCs w:val="24"/>
          <w:lang w:val="en-GB"/>
        </w:rPr>
      </w:pPr>
    </w:p>
    <w:p w:rsidR="008C31F8" w:rsidRPr="008C31F8" w:rsidRDefault="008C31F8" w:rsidP="008C31F8">
      <w:pPr>
        <w:spacing w:after="0" w:line="480" w:lineRule="auto"/>
        <w:jc w:val="center"/>
        <w:rPr>
          <w:rFonts w:ascii="Times New Roman" w:hAnsi="Times New Roman" w:cs="Times New Roman"/>
          <w:sz w:val="24"/>
          <w:szCs w:val="24"/>
          <w:lang w:val="en-GB"/>
        </w:rPr>
      </w:pPr>
      <w:r w:rsidRPr="008C31F8">
        <w:rPr>
          <w:rFonts w:ascii="Times New Roman" w:hAnsi="Times New Roman" w:cs="Times New Roman"/>
          <w:b/>
          <w:sz w:val="24"/>
          <w:szCs w:val="24"/>
          <w:lang w:val="en-GB"/>
        </w:rPr>
        <w:t>Organization plan</w:t>
      </w:r>
    </w:p>
    <w:p w:rsidR="008C31F8" w:rsidRPr="008C31F8" w:rsidRDefault="008C31F8" w:rsidP="008C31F8">
      <w:pPr>
        <w:spacing w:after="0" w:line="480" w:lineRule="auto"/>
        <w:rPr>
          <w:rFonts w:ascii="Times New Roman" w:hAnsi="Times New Roman" w:cs="Times New Roman"/>
          <w:b/>
          <w:sz w:val="24"/>
          <w:szCs w:val="24"/>
          <w:lang w:val="en-GB"/>
        </w:rPr>
      </w:pPr>
      <w:r w:rsidRPr="008C31F8">
        <w:rPr>
          <w:rFonts w:ascii="Times New Roman" w:hAnsi="Times New Roman" w:cs="Times New Roman"/>
          <w:b/>
          <w:sz w:val="24"/>
          <w:szCs w:val="24"/>
          <w:lang w:val="en-GB"/>
        </w:rPr>
        <w:t xml:space="preserve">Mission </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sz w:val="24"/>
          <w:szCs w:val="24"/>
          <w:lang w:val="en-GB"/>
        </w:rPr>
        <w:t xml:space="preserve">The firm's mission is to provide administrations with clinical practices to improve their cash flow and financial position. The firm also has the aim of ensuring it expands its services to another state. </w:t>
      </w:r>
    </w:p>
    <w:p w:rsidR="008C31F8" w:rsidRPr="008C31F8" w:rsidRDefault="008C31F8" w:rsidP="008C31F8">
      <w:pPr>
        <w:spacing w:after="0" w:line="480" w:lineRule="auto"/>
        <w:rPr>
          <w:rFonts w:ascii="Times New Roman" w:hAnsi="Times New Roman" w:cs="Times New Roman"/>
          <w:b/>
          <w:sz w:val="24"/>
          <w:szCs w:val="24"/>
          <w:lang w:val="en-GB"/>
        </w:rPr>
      </w:pPr>
      <w:r w:rsidRPr="008C31F8">
        <w:rPr>
          <w:rFonts w:ascii="Times New Roman" w:hAnsi="Times New Roman" w:cs="Times New Roman"/>
          <w:b/>
          <w:sz w:val="24"/>
          <w:szCs w:val="24"/>
          <w:lang w:val="en-GB"/>
        </w:rPr>
        <w:lastRenderedPageBreak/>
        <w:t>Strategy</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sz w:val="24"/>
          <w:szCs w:val="24"/>
          <w:lang w:val="en-GB"/>
        </w:rPr>
        <w:t>A decision has already been made to expand the firm’s services to another state. Now the next step is figuring out and providing services that will meet the needs of the locals of this state</w:t>
      </w:r>
      <w:r w:rsidRPr="008C31F8">
        <w:rPr>
          <w:rFonts w:ascii="Times New Roman" w:hAnsi="Times New Roman" w:cs="Times New Roman"/>
          <w:sz w:val="24"/>
          <w:szCs w:val="24"/>
          <w:shd w:val="clear" w:color="auto" w:fill="FFFFFF"/>
        </w:rPr>
        <w:t>(Abdullah Saif, 2015)</w:t>
      </w:r>
      <w:r w:rsidRPr="008C31F8">
        <w:rPr>
          <w:rFonts w:ascii="Times New Roman" w:hAnsi="Times New Roman" w:cs="Times New Roman"/>
          <w:sz w:val="24"/>
          <w:szCs w:val="24"/>
          <w:lang w:val="en-GB"/>
        </w:rPr>
        <w:t>. As soon as this is put in place, a market plan will be formulated, and the company is legally accepted to receive orders and request services provision. The firm's marketing will begin four months after it enters into another state.</w:t>
      </w:r>
    </w:p>
    <w:p w:rsidR="008C31F8" w:rsidRPr="008C31F8" w:rsidRDefault="008C31F8" w:rsidP="008C31F8">
      <w:pPr>
        <w:spacing w:after="0" w:line="480" w:lineRule="auto"/>
        <w:jc w:val="center"/>
        <w:rPr>
          <w:rFonts w:ascii="Times New Roman" w:hAnsi="Times New Roman" w:cs="Times New Roman"/>
          <w:sz w:val="24"/>
          <w:szCs w:val="24"/>
          <w:lang w:val="en-GB"/>
        </w:rPr>
      </w:pPr>
      <w:r w:rsidRPr="008C31F8">
        <w:rPr>
          <w:rFonts w:ascii="Times New Roman" w:hAnsi="Times New Roman" w:cs="Times New Roman"/>
          <w:b/>
          <w:sz w:val="24"/>
          <w:szCs w:val="24"/>
          <w:lang w:val="en-GB"/>
        </w:rPr>
        <w:t>Marketing plan</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b/>
          <w:sz w:val="24"/>
          <w:szCs w:val="24"/>
          <w:lang w:val="en-GB"/>
        </w:rPr>
        <w:t>Overview and goals</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sz w:val="24"/>
          <w:szCs w:val="24"/>
          <w:lang w:val="en-GB"/>
        </w:rPr>
        <w:t>The general objective of the marketing strategy is to have showcase entrance to works on declaring the administrations that will be provided by the firm. Brand acknowledgment in the practice manager/doctor the network is an objective to advance administrations that will be advantageous to the network and will improve the primary concern of those practices.</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b/>
          <w:sz w:val="24"/>
          <w:szCs w:val="24"/>
          <w:lang w:val="en-GB"/>
        </w:rPr>
        <w:t xml:space="preserve">Market Analysis </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sz w:val="24"/>
          <w:szCs w:val="24"/>
          <w:lang w:val="en-GB"/>
        </w:rPr>
        <w:t>The firm will expand its services to New York. This state has a vast population with many hospitals and medical clinics, which will act as a market for its services. It has an airport that will ease connection with other states easier.</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b/>
          <w:sz w:val="24"/>
          <w:szCs w:val="24"/>
          <w:lang w:val="en-GB"/>
        </w:rPr>
        <w:t>Major competition</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sz w:val="24"/>
          <w:szCs w:val="24"/>
          <w:lang w:val="en-GB"/>
        </w:rPr>
        <w:t>The firm will face competition from both major and small firms such as Deloitte and KPMG. These two companies are known to possess the finances and workforce that will help them take assignments quickly. However, their disadvantage is that they do not have a good relationship with the community. Also, many of them go for university graduates who tend to have little experience. Smaller firms have been in the city and build a good relationship</w:t>
      </w:r>
      <w:r w:rsidRPr="008C31F8">
        <w:rPr>
          <w:rFonts w:ascii="Times New Roman" w:hAnsi="Times New Roman" w:cs="Times New Roman"/>
          <w:sz w:val="24"/>
          <w:szCs w:val="24"/>
          <w:shd w:val="clear" w:color="auto" w:fill="FFFFFF"/>
        </w:rPr>
        <w:t xml:space="preserve"> (Marino and Armstrong, 2016)</w:t>
      </w:r>
      <w:r w:rsidRPr="008C31F8">
        <w:rPr>
          <w:rFonts w:ascii="Times New Roman" w:hAnsi="Times New Roman" w:cs="Times New Roman"/>
          <w:sz w:val="24"/>
          <w:szCs w:val="24"/>
          <w:lang w:val="en-GB"/>
        </w:rPr>
        <w:t xml:space="preserve">. However, they lack enough resources to boost their services. </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b/>
          <w:sz w:val="24"/>
          <w:szCs w:val="24"/>
          <w:lang w:val="en-GB"/>
        </w:rPr>
        <w:t xml:space="preserve">Industry trends </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sz w:val="24"/>
          <w:szCs w:val="24"/>
          <w:lang w:val="en-GB"/>
        </w:rPr>
        <w:lastRenderedPageBreak/>
        <w:t>The trends in the industry are always varying. There are reliably newer principles and changes in the current regulations than what used to be there. New guidelines at the condition of government magnitude influence the matter of human services and, in numerous events, the conveyance of that equal consideration. The obligation of this association shall remain educated and taught to have the option in order to provide their customers the best assistance on new or existing and up and coming guidelines and projects.</w:t>
      </w:r>
    </w:p>
    <w:p w:rsidR="008C31F8" w:rsidRPr="008C31F8" w:rsidRDefault="008C31F8" w:rsidP="008C31F8">
      <w:pPr>
        <w:spacing w:after="0" w:line="480" w:lineRule="auto"/>
        <w:jc w:val="center"/>
        <w:rPr>
          <w:rFonts w:ascii="Times New Roman" w:hAnsi="Times New Roman" w:cs="Times New Roman"/>
          <w:sz w:val="24"/>
          <w:szCs w:val="24"/>
          <w:lang w:val="en-GB"/>
        </w:rPr>
      </w:pPr>
      <w:r w:rsidRPr="008C31F8">
        <w:rPr>
          <w:rFonts w:ascii="Times New Roman" w:hAnsi="Times New Roman" w:cs="Times New Roman"/>
          <w:b/>
          <w:sz w:val="24"/>
          <w:szCs w:val="24"/>
          <w:lang w:val="en-GB"/>
        </w:rPr>
        <w:t xml:space="preserve">Operating and Control system </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b/>
          <w:sz w:val="24"/>
          <w:szCs w:val="24"/>
          <w:lang w:val="en-GB"/>
        </w:rPr>
        <w:t>Administrative control, procedures, and policies</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sz w:val="24"/>
          <w:szCs w:val="24"/>
          <w:lang w:val="en-GB"/>
        </w:rPr>
        <w:t>On billing of the customers, they will be billed every month, except for an alternative agreement. Customers will have to put a signature before any service delivery. Clients will be charged at the end of each service for the services that take less than four weeks.</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sz w:val="24"/>
          <w:szCs w:val="24"/>
          <w:lang w:val="en-GB"/>
        </w:rPr>
        <w:t>Suppliers will be paid on the fifteenth day and will be given a nine percent of the total invoice payment</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sz w:val="24"/>
          <w:szCs w:val="24"/>
          <w:lang w:val="en-GB"/>
        </w:rPr>
        <w:t>For paper flow and documents, there will be an official engagement during each engagement session, which will provide an expectation of the services, commitment, and payment. Also, there will be a progress proclamation that is sent to the organization for the straightforwardness of activities (Van Stel and Stunnenberg, 2006). This will keep the organization aware of the advancement of the tasks. At last, there will be a receipt for costs and services.</w:t>
      </w:r>
    </w:p>
    <w:p w:rsidR="008C31F8" w:rsidRPr="008C31F8" w:rsidRDefault="008C31F8" w:rsidP="008C31F8">
      <w:pPr>
        <w:spacing w:after="0" w:line="480" w:lineRule="auto"/>
        <w:jc w:val="center"/>
        <w:rPr>
          <w:rFonts w:ascii="Times New Roman" w:hAnsi="Times New Roman" w:cs="Times New Roman"/>
          <w:b/>
          <w:sz w:val="24"/>
          <w:szCs w:val="24"/>
          <w:lang w:val="en-GB"/>
        </w:rPr>
      </w:pPr>
      <w:r w:rsidRPr="008C31F8">
        <w:rPr>
          <w:rFonts w:ascii="Times New Roman" w:hAnsi="Times New Roman" w:cs="Times New Roman"/>
          <w:b/>
          <w:sz w:val="24"/>
          <w:szCs w:val="24"/>
          <w:lang w:val="en-GB"/>
        </w:rPr>
        <w:t xml:space="preserve">Growth Plan </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b/>
          <w:sz w:val="24"/>
          <w:szCs w:val="24"/>
          <w:lang w:val="en-GB"/>
        </w:rPr>
        <w:t>Exit strategy</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sz w:val="24"/>
          <w:szCs w:val="24"/>
          <w:lang w:val="en-GB"/>
        </w:rPr>
        <w:t>Because of limited investment, the existing strategy will be discreet of Sandra and Jackie. The two will do this by taking avoiding many engagements. If the business has developed exponentially, the financial reports would show the development and would be the reason for selling their shares (DeTienne, 2010).</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b/>
          <w:sz w:val="24"/>
          <w:szCs w:val="24"/>
          <w:lang w:val="en-GB"/>
        </w:rPr>
        <w:lastRenderedPageBreak/>
        <w:t>Personnel requirements</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sz w:val="24"/>
          <w:szCs w:val="24"/>
          <w:lang w:val="en-GB"/>
        </w:rPr>
        <w:t>The second-year after the expansion will see the need for an extra accomplice and perhaps low maintenance administrative individual for dealing with the records receivable and demands for the proposition that come into the organization. If a chat evaluation services are provided within the first two years, qualified examiners with a CPC accreditation will be employed.</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b/>
          <w:sz w:val="24"/>
          <w:szCs w:val="24"/>
          <w:lang w:val="en-GB"/>
        </w:rPr>
        <w:t>Capital Requirements</w:t>
      </w:r>
    </w:p>
    <w:p w:rsidR="008C31F8" w:rsidRPr="008C31F8" w:rsidRDefault="008C31F8" w:rsidP="008C31F8">
      <w:pPr>
        <w:spacing w:after="0" w:line="480" w:lineRule="auto"/>
        <w:rPr>
          <w:rFonts w:ascii="Times New Roman" w:hAnsi="Times New Roman" w:cs="Times New Roman"/>
          <w:sz w:val="24"/>
          <w:szCs w:val="24"/>
          <w:lang w:val="en-GB"/>
        </w:rPr>
      </w:pPr>
      <w:r w:rsidRPr="008C31F8">
        <w:rPr>
          <w:rFonts w:ascii="Times New Roman" w:hAnsi="Times New Roman" w:cs="Times New Roman"/>
          <w:sz w:val="24"/>
          <w:szCs w:val="24"/>
          <w:lang w:val="en-GB"/>
        </w:rPr>
        <w:t>There will be an accomplice for the expected growth after two years in business. As the firm proceeds to develop, it will be the choice of the two accomplices on whether we will include workers or accomplices. Since this business needs constrained resources other than information, we will have the option to develop with constrained assets (Malherbe, 2015).</w:t>
      </w:r>
    </w:p>
    <w:p w:rsidR="008C31F8" w:rsidRPr="008C31F8" w:rsidRDefault="008C31F8" w:rsidP="008C31F8">
      <w:pPr>
        <w:spacing w:after="0" w:line="480" w:lineRule="auto"/>
        <w:ind w:firstLine="720"/>
        <w:contextualSpacing/>
        <w:jc w:val="center"/>
        <w:rPr>
          <w:rFonts w:ascii="Times New Roman" w:hAnsi="Times New Roman" w:cs="Times New Roman"/>
          <w:b/>
          <w:color w:val="0D0D0D" w:themeColor="text1" w:themeTint="F2"/>
          <w:sz w:val="24"/>
          <w:szCs w:val="24"/>
        </w:rPr>
      </w:pPr>
      <w:r>
        <w:rPr>
          <w:rFonts w:ascii="Times New Roman" w:hAnsi="Times New Roman" w:cs="Times New Roman"/>
          <w:b/>
          <w:color w:val="0D0D0D" w:themeColor="text1" w:themeTint="F2"/>
          <w:sz w:val="24"/>
          <w:szCs w:val="24"/>
        </w:rPr>
        <w:t>Equipments</w:t>
      </w:r>
    </w:p>
    <w:p w:rsidR="00365143" w:rsidRPr="008C31F8" w:rsidRDefault="00F47CF3" w:rsidP="008C31F8">
      <w:pPr>
        <w:spacing w:after="0" w:line="480" w:lineRule="auto"/>
        <w:ind w:firstLine="720"/>
        <w:contextualSpacing/>
        <w:rPr>
          <w:rFonts w:ascii="Times New Roman" w:hAnsi="Times New Roman" w:cs="Times New Roman"/>
          <w:color w:val="0D0D0D" w:themeColor="text1" w:themeTint="F2"/>
          <w:sz w:val="24"/>
          <w:szCs w:val="24"/>
        </w:rPr>
      </w:pPr>
      <w:r w:rsidRPr="008C31F8">
        <w:rPr>
          <w:rFonts w:ascii="Times New Roman" w:hAnsi="Times New Roman" w:cs="Times New Roman"/>
          <w:color w:val="0D0D0D" w:themeColor="text1" w:themeTint="F2"/>
          <w:sz w:val="24"/>
          <w:szCs w:val="24"/>
        </w:rPr>
        <w:t>All our equipment will be bought. The table below shows the equipment we will use.</w:t>
      </w:r>
    </w:p>
    <w:tbl>
      <w:tblPr>
        <w:tblStyle w:val="TableGrid"/>
        <w:tblW w:w="0" w:type="auto"/>
        <w:tblLook w:val="04A0"/>
      </w:tblPr>
      <w:tblGrid>
        <w:gridCol w:w="3005"/>
        <w:gridCol w:w="3005"/>
        <w:gridCol w:w="3006"/>
      </w:tblGrid>
      <w:tr w:rsidR="00CE11DE" w:rsidRPr="008C31F8" w:rsidTr="00CE11DE">
        <w:tc>
          <w:tcPr>
            <w:tcW w:w="3005" w:type="dxa"/>
            <w:shd w:val="clear" w:color="auto" w:fill="F2F2F2" w:themeFill="background1" w:themeFillShade="F2"/>
          </w:tcPr>
          <w:p w:rsidR="00CE11DE" w:rsidRPr="008C31F8" w:rsidRDefault="00CE11DE" w:rsidP="008C31F8">
            <w:pPr>
              <w:spacing w:line="480" w:lineRule="auto"/>
              <w:contextualSpacing/>
              <w:rPr>
                <w:rFonts w:ascii="Times New Roman" w:hAnsi="Times New Roman" w:cs="Times New Roman"/>
                <w:color w:val="0D0D0D" w:themeColor="text1" w:themeTint="F2"/>
                <w:sz w:val="24"/>
                <w:szCs w:val="24"/>
              </w:rPr>
            </w:pPr>
            <w:r w:rsidRPr="008C31F8">
              <w:rPr>
                <w:rFonts w:ascii="Times New Roman" w:hAnsi="Times New Roman" w:cs="Times New Roman"/>
                <w:color w:val="0D0D0D" w:themeColor="text1" w:themeTint="F2"/>
                <w:sz w:val="24"/>
                <w:szCs w:val="24"/>
              </w:rPr>
              <w:t>Equipment</w:t>
            </w:r>
          </w:p>
        </w:tc>
        <w:tc>
          <w:tcPr>
            <w:tcW w:w="3005" w:type="dxa"/>
            <w:shd w:val="clear" w:color="auto" w:fill="F2F2F2" w:themeFill="background1" w:themeFillShade="F2"/>
          </w:tcPr>
          <w:p w:rsidR="00CE11DE" w:rsidRPr="008C31F8" w:rsidRDefault="00CE11DE" w:rsidP="008C31F8">
            <w:pPr>
              <w:spacing w:line="480" w:lineRule="auto"/>
              <w:contextualSpacing/>
              <w:rPr>
                <w:rFonts w:ascii="Times New Roman" w:hAnsi="Times New Roman" w:cs="Times New Roman"/>
                <w:color w:val="0D0D0D" w:themeColor="text1" w:themeTint="F2"/>
                <w:sz w:val="24"/>
                <w:szCs w:val="24"/>
              </w:rPr>
            </w:pPr>
            <w:r w:rsidRPr="008C31F8">
              <w:rPr>
                <w:rFonts w:ascii="Times New Roman" w:hAnsi="Times New Roman" w:cs="Times New Roman"/>
                <w:color w:val="0D0D0D" w:themeColor="text1" w:themeTint="F2"/>
                <w:sz w:val="24"/>
                <w:szCs w:val="24"/>
              </w:rPr>
              <w:t xml:space="preserve">When  </w:t>
            </w:r>
          </w:p>
        </w:tc>
        <w:tc>
          <w:tcPr>
            <w:tcW w:w="3006" w:type="dxa"/>
            <w:shd w:val="clear" w:color="auto" w:fill="F2F2F2" w:themeFill="background1" w:themeFillShade="F2"/>
          </w:tcPr>
          <w:p w:rsidR="00CE11DE" w:rsidRPr="008C31F8" w:rsidRDefault="00CE11DE" w:rsidP="008C31F8">
            <w:pPr>
              <w:spacing w:line="480" w:lineRule="auto"/>
              <w:contextualSpacing/>
              <w:rPr>
                <w:rFonts w:ascii="Times New Roman" w:hAnsi="Times New Roman" w:cs="Times New Roman"/>
                <w:color w:val="0D0D0D" w:themeColor="text1" w:themeTint="F2"/>
                <w:sz w:val="24"/>
                <w:szCs w:val="24"/>
              </w:rPr>
            </w:pPr>
            <w:r w:rsidRPr="008C31F8">
              <w:rPr>
                <w:rFonts w:ascii="Times New Roman" w:hAnsi="Times New Roman" w:cs="Times New Roman"/>
                <w:color w:val="0D0D0D" w:themeColor="text1" w:themeTint="F2"/>
                <w:sz w:val="24"/>
                <w:szCs w:val="24"/>
              </w:rPr>
              <w:t>Cost</w:t>
            </w:r>
          </w:p>
        </w:tc>
      </w:tr>
      <w:tr w:rsidR="00CE11DE" w:rsidRPr="008C31F8" w:rsidTr="00CE11DE">
        <w:tc>
          <w:tcPr>
            <w:tcW w:w="3005" w:type="dxa"/>
          </w:tcPr>
          <w:p w:rsidR="00CE11DE" w:rsidRPr="008C31F8" w:rsidRDefault="00D91278" w:rsidP="008C31F8">
            <w:pPr>
              <w:spacing w:line="480" w:lineRule="auto"/>
              <w:contextualSpacing/>
              <w:rPr>
                <w:rFonts w:ascii="Times New Roman" w:hAnsi="Times New Roman" w:cs="Times New Roman"/>
                <w:color w:val="0D0D0D" w:themeColor="text1" w:themeTint="F2"/>
                <w:sz w:val="24"/>
                <w:szCs w:val="24"/>
              </w:rPr>
            </w:pPr>
            <w:r w:rsidRPr="008C31F8">
              <w:rPr>
                <w:rFonts w:ascii="Times New Roman" w:hAnsi="Times New Roman" w:cs="Times New Roman"/>
                <w:color w:val="0D0D0D" w:themeColor="text1" w:themeTint="F2"/>
                <w:sz w:val="24"/>
                <w:szCs w:val="24"/>
              </w:rPr>
              <w:t>Computers and accessories</w:t>
            </w:r>
          </w:p>
        </w:tc>
        <w:tc>
          <w:tcPr>
            <w:tcW w:w="3005" w:type="dxa"/>
          </w:tcPr>
          <w:p w:rsidR="003C2A1E" w:rsidRPr="008C31F8" w:rsidRDefault="00D91278" w:rsidP="008C31F8">
            <w:pPr>
              <w:spacing w:line="480" w:lineRule="auto"/>
              <w:contextualSpacing/>
              <w:rPr>
                <w:rFonts w:ascii="Times New Roman" w:hAnsi="Times New Roman" w:cs="Times New Roman"/>
                <w:color w:val="0D0D0D" w:themeColor="text1" w:themeTint="F2"/>
                <w:sz w:val="24"/>
                <w:szCs w:val="24"/>
              </w:rPr>
            </w:pPr>
            <w:r w:rsidRPr="008C31F8">
              <w:rPr>
                <w:rFonts w:ascii="Times New Roman" w:hAnsi="Times New Roman" w:cs="Times New Roman"/>
                <w:color w:val="0D0D0D" w:themeColor="text1" w:themeTint="F2"/>
                <w:sz w:val="24"/>
                <w:szCs w:val="24"/>
              </w:rPr>
              <w:t>For online tutoring</w:t>
            </w:r>
          </w:p>
        </w:tc>
        <w:tc>
          <w:tcPr>
            <w:tcW w:w="3006" w:type="dxa"/>
          </w:tcPr>
          <w:p w:rsidR="00CE11DE" w:rsidRPr="008C31F8" w:rsidRDefault="00E6256F" w:rsidP="008C31F8">
            <w:pPr>
              <w:spacing w:line="480" w:lineRule="auto"/>
              <w:contextualSpacing/>
              <w:rPr>
                <w:rFonts w:ascii="Times New Roman" w:hAnsi="Times New Roman" w:cs="Times New Roman"/>
                <w:color w:val="0D0D0D" w:themeColor="text1" w:themeTint="F2"/>
                <w:sz w:val="24"/>
                <w:szCs w:val="24"/>
              </w:rPr>
            </w:pPr>
            <w:r w:rsidRPr="008C31F8">
              <w:rPr>
                <w:rFonts w:ascii="Times New Roman" w:hAnsi="Times New Roman" w:cs="Times New Roman"/>
                <w:color w:val="0D0D0D" w:themeColor="text1" w:themeTint="F2"/>
                <w:sz w:val="24"/>
                <w:szCs w:val="24"/>
              </w:rPr>
              <w:t>£2,000</w:t>
            </w:r>
          </w:p>
        </w:tc>
      </w:tr>
      <w:tr w:rsidR="00CE11DE" w:rsidRPr="008C31F8" w:rsidTr="00CE11DE">
        <w:tc>
          <w:tcPr>
            <w:tcW w:w="3005" w:type="dxa"/>
          </w:tcPr>
          <w:p w:rsidR="00CE11DE" w:rsidRPr="008C31F8" w:rsidRDefault="00F1508F" w:rsidP="008C31F8">
            <w:pPr>
              <w:spacing w:line="480" w:lineRule="auto"/>
              <w:contextualSpacing/>
              <w:rPr>
                <w:rFonts w:ascii="Times New Roman" w:hAnsi="Times New Roman" w:cs="Times New Roman"/>
                <w:color w:val="0D0D0D" w:themeColor="text1" w:themeTint="F2"/>
                <w:sz w:val="24"/>
                <w:szCs w:val="24"/>
              </w:rPr>
            </w:pPr>
            <w:r w:rsidRPr="008C31F8">
              <w:rPr>
                <w:rFonts w:ascii="Times New Roman" w:hAnsi="Times New Roman" w:cs="Times New Roman"/>
                <w:color w:val="0D0D0D" w:themeColor="text1" w:themeTint="F2"/>
                <w:sz w:val="24"/>
                <w:szCs w:val="24"/>
              </w:rPr>
              <w:t>Office chairs</w:t>
            </w:r>
          </w:p>
        </w:tc>
        <w:tc>
          <w:tcPr>
            <w:tcW w:w="3005" w:type="dxa"/>
          </w:tcPr>
          <w:p w:rsidR="00CE11DE" w:rsidRPr="008C31F8" w:rsidRDefault="00F1508F" w:rsidP="008C31F8">
            <w:pPr>
              <w:spacing w:line="480" w:lineRule="auto"/>
              <w:contextualSpacing/>
              <w:rPr>
                <w:rFonts w:ascii="Times New Roman" w:hAnsi="Times New Roman" w:cs="Times New Roman"/>
                <w:color w:val="0D0D0D" w:themeColor="text1" w:themeTint="F2"/>
                <w:sz w:val="24"/>
                <w:szCs w:val="24"/>
              </w:rPr>
            </w:pPr>
            <w:r w:rsidRPr="008C31F8">
              <w:rPr>
                <w:rFonts w:ascii="Times New Roman" w:hAnsi="Times New Roman" w:cs="Times New Roman"/>
                <w:color w:val="0D0D0D" w:themeColor="text1" w:themeTint="F2"/>
                <w:sz w:val="24"/>
                <w:szCs w:val="24"/>
              </w:rPr>
              <w:t>To be used by staff</w:t>
            </w:r>
          </w:p>
        </w:tc>
        <w:tc>
          <w:tcPr>
            <w:tcW w:w="3006" w:type="dxa"/>
          </w:tcPr>
          <w:p w:rsidR="00CE11DE" w:rsidRPr="008C31F8" w:rsidRDefault="00085419" w:rsidP="008C31F8">
            <w:pPr>
              <w:spacing w:line="480" w:lineRule="auto"/>
              <w:contextualSpacing/>
              <w:rPr>
                <w:rFonts w:ascii="Times New Roman" w:hAnsi="Times New Roman" w:cs="Times New Roman"/>
                <w:color w:val="0D0D0D" w:themeColor="text1" w:themeTint="F2"/>
                <w:sz w:val="24"/>
                <w:szCs w:val="24"/>
              </w:rPr>
            </w:pPr>
            <w:r w:rsidRPr="008C31F8">
              <w:rPr>
                <w:rFonts w:ascii="Times New Roman" w:hAnsi="Times New Roman" w:cs="Times New Roman"/>
                <w:color w:val="0D0D0D" w:themeColor="text1" w:themeTint="F2"/>
                <w:sz w:val="24"/>
                <w:szCs w:val="24"/>
              </w:rPr>
              <w:t>£1,800</w:t>
            </w:r>
          </w:p>
        </w:tc>
      </w:tr>
      <w:tr w:rsidR="00085419" w:rsidRPr="008C31F8" w:rsidTr="00CE11DE">
        <w:tc>
          <w:tcPr>
            <w:tcW w:w="3005" w:type="dxa"/>
          </w:tcPr>
          <w:p w:rsidR="00085419" w:rsidRPr="008C31F8" w:rsidRDefault="00085419" w:rsidP="008C31F8">
            <w:pPr>
              <w:spacing w:line="480" w:lineRule="auto"/>
              <w:contextualSpacing/>
              <w:rPr>
                <w:rFonts w:ascii="Times New Roman" w:hAnsi="Times New Roman" w:cs="Times New Roman"/>
                <w:color w:val="0D0D0D" w:themeColor="text1" w:themeTint="F2"/>
                <w:sz w:val="24"/>
                <w:szCs w:val="24"/>
              </w:rPr>
            </w:pPr>
            <w:r w:rsidRPr="008C31F8">
              <w:rPr>
                <w:rFonts w:ascii="Times New Roman" w:hAnsi="Times New Roman" w:cs="Times New Roman"/>
                <w:color w:val="0D0D0D" w:themeColor="text1" w:themeTint="F2"/>
                <w:sz w:val="24"/>
                <w:szCs w:val="24"/>
              </w:rPr>
              <w:t>Walk-in cooler</w:t>
            </w:r>
          </w:p>
        </w:tc>
        <w:tc>
          <w:tcPr>
            <w:tcW w:w="3005" w:type="dxa"/>
          </w:tcPr>
          <w:p w:rsidR="00085419" w:rsidRPr="008C31F8" w:rsidRDefault="00085419" w:rsidP="008C31F8">
            <w:pPr>
              <w:spacing w:line="480" w:lineRule="auto"/>
              <w:contextualSpacing/>
              <w:rPr>
                <w:rFonts w:ascii="Times New Roman" w:hAnsi="Times New Roman" w:cs="Times New Roman"/>
                <w:color w:val="0D0D0D" w:themeColor="text1" w:themeTint="F2"/>
                <w:sz w:val="24"/>
                <w:szCs w:val="24"/>
              </w:rPr>
            </w:pPr>
            <w:r w:rsidRPr="008C31F8">
              <w:rPr>
                <w:rFonts w:ascii="Times New Roman" w:hAnsi="Times New Roman" w:cs="Times New Roman"/>
                <w:color w:val="0D0D0D" w:themeColor="text1" w:themeTint="F2"/>
                <w:sz w:val="24"/>
                <w:szCs w:val="24"/>
              </w:rPr>
              <w:t>Reducing the</w:t>
            </w:r>
            <w:r w:rsidR="0005357D" w:rsidRPr="008C31F8">
              <w:rPr>
                <w:rFonts w:ascii="Times New Roman" w:hAnsi="Times New Roman" w:cs="Times New Roman"/>
                <w:color w:val="0D0D0D" w:themeColor="text1" w:themeTint="F2"/>
                <w:sz w:val="24"/>
                <w:szCs w:val="24"/>
              </w:rPr>
              <w:t xml:space="preserve"> atmosphere’s temperature</w:t>
            </w:r>
          </w:p>
        </w:tc>
        <w:tc>
          <w:tcPr>
            <w:tcW w:w="3006" w:type="dxa"/>
          </w:tcPr>
          <w:p w:rsidR="00085419" w:rsidRPr="008C31F8" w:rsidRDefault="0005357D" w:rsidP="008C31F8">
            <w:pPr>
              <w:spacing w:line="480" w:lineRule="auto"/>
              <w:contextualSpacing/>
              <w:rPr>
                <w:rFonts w:ascii="Times New Roman" w:hAnsi="Times New Roman" w:cs="Times New Roman"/>
                <w:color w:val="0D0D0D" w:themeColor="text1" w:themeTint="F2"/>
                <w:sz w:val="24"/>
                <w:szCs w:val="24"/>
              </w:rPr>
            </w:pPr>
            <w:r w:rsidRPr="008C31F8">
              <w:rPr>
                <w:rFonts w:ascii="Times New Roman" w:hAnsi="Times New Roman" w:cs="Times New Roman"/>
                <w:color w:val="0D0D0D" w:themeColor="text1" w:themeTint="F2"/>
                <w:sz w:val="24"/>
                <w:szCs w:val="24"/>
              </w:rPr>
              <w:t>£6,000</w:t>
            </w:r>
          </w:p>
        </w:tc>
      </w:tr>
      <w:tr w:rsidR="0005357D" w:rsidRPr="008C31F8" w:rsidTr="00CE11DE">
        <w:tc>
          <w:tcPr>
            <w:tcW w:w="3005" w:type="dxa"/>
          </w:tcPr>
          <w:p w:rsidR="0005357D" w:rsidRPr="008C31F8" w:rsidRDefault="00F1508F" w:rsidP="008C31F8">
            <w:pPr>
              <w:spacing w:line="480" w:lineRule="auto"/>
              <w:contextualSpacing/>
              <w:rPr>
                <w:rFonts w:ascii="Times New Roman" w:hAnsi="Times New Roman" w:cs="Times New Roman"/>
                <w:color w:val="0D0D0D" w:themeColor="text1" w:themeTint="F2"/>
                <w:sz w:val="24"/>
                <w:szCs w:val="24"/>
              </w:rPr>
            </w:pPr>
            <w:r w:rsidRPr="008C31F8">
              <w:rPr>
                <w:rFonts w:ascii="Times New Roman" w:hAnsi="Times New Roman" w:cs="Times New Roman"/>
                <w:color w:val="0D0D0D" w:themeColor="text1" w:themeTint="F2"/>
                <w:sz w:val="24"/>
                <w:szCs w:val="24"/>
              </w:rPr>
              <w:t>Digital infrastructure in maintain websites</w:t>
            </w:r>
          </w:p>
        </w:tc>
        <w:tc>
          <w:tcPr>
            <w:tcW w:w="3005" w:type="dxa"/>
          </w:tcPr>
          <w:p w:rsidR="0005357D" w:rsidRPr="008C31F8" w:rsidRDefault="00F1508F" w:rsidP="008C31F8">
            <w:pPr>
              <w:spacing w:line="480" w:lineRule="auto"/>
              <w:contextualSpacing/>
              <w:rPr>
                <w:rFonts w:ascii="Times New Roman" w:hAnsi="Times New Roman" w:cs="Times New Roman"/>
                <w:color w:val="0D0D0D" w:themeColor="text1" w:themeTint="F2"/>
                <w:sz w:val="24"/>
                <w:szCs w:val="24"/>
              </w:rPr>
            </w:pPr>
            <w:r w:rsidRPr="008C31F8">
              <w:rPr>
                <w:rFonts w:ascii="Times New Roman" w:hAnsi="Times New Roman" w:cs="Times New Roman"/>
                <w:color w:val="0D0D0D" w:themeColor="text1" w:themeTint="F2"/>
                <w:sz w:val="24"/>
                <w:szCs w:val="24"/>
              </w:rPr>
              <w:t>Controlling classes between individuals and tutors</w:t>
            </w:r>
          </w:p>
        </w:tc>
        <w:tc>
          <w:tcPr>
            <w:tcW w:w="3006" w:type="dxa"/>
          </w:tcPr>
          <w:p w:rsidR="0005357D" w:rsidRPr="008C31F8" w:rsidRDefault="0005357D" w:rsidP="008C31F8">
            <w:pPr>
              <w:spacing w:line="480" w:lineRule="auto"/>
              <w:contextualSpacing/>
              <w:rPr>
                <w:rFonts w:ascii="Times New Roman" w:hAnsi="Times New Roman" w:cs="Times New Roman"/>
                <w:color w:val="0D0D0D" w:themeColor="text1" w:themeTint="F2"/>
                <w:sz w:val="24"/>
                <w:szCs w:val="24"/>
              </w:rPr>
            </w:pPr>
            <w:r w:rsidRPr="008C31F8">
              <w:rPr>
                <w:rFonts w:ascii="Times New Roman" w:hAnsi="Times New Roman" w:cs="Times New Roman"/>
                <w:color w:val="0D0D0D" w:themeColor="text1" w:themeTint="F2"/>
                <w:sz w:val="24"/>
                <w:szCs w:val="24"/>
              </w:rPr>
              <w:t>£</w:t>
            </w:r>
            <w:r w:rsidR="00FE6AAF" w:rsidRPr="008C31F8">
              <w:rPr>
                <w:rFonts w:ascii="Times New Roman" w:hAnsi="Times New Roman" w:cs="Times New Roman"/>
                <w:color w:val="0D0D0D" w:themeColor="text1" w:themeTint="F2"/>
                <w:sz w:val="24"/>
                <w:szCs w:val="24"/>
              </w:rPr>
              <w:t>1,000</w:t>
            </w:r>
          </w:p>
        </w:tc>
      </w:tr>
      <w:tr w:rsidR="00F1508F" w:rsidRPr="008C31F8" w:rsidTr="00CE11DE">
        <w:tc>
          <w:tcPr>
            <w:tcW w:w="3005" w:type="dxa"/>
          </w:tcPr>
          <w:p w:rsidR="00F1508F" w:rsidRPr="008C31F8" w:rsidRDefault="00F1508F" w:rsidP="008C31F8">
            <w:pPr>
              <w:spacing w:line="480" w:lineRule="auto"/>
              <w:contextualSpacing/>
              <w:rPr>
                <w:rFonts w:ascii="Times New Roman" w:hAnsi="Times New Roman" w:cs="Times New Roman"/>
                <w:color w:val="0D0D0D" w:themeColor="text1" w:themeTint="F2"/>
                <w:sz w:val="24"/>
                <w:szCs w:val="24"/>
              </w:rPr>
            </w:pPr>
          </w:p>
        </w:tc>
        <w:tc>
          <w:tcPr>
            <w:tcW w:w="3005" w:type="dxa"/>
          </w:tcPr>
          <w:p w:rsidR="00F1508F" w:rsidRPr="008C31F8" w:rsidRDefault="00F1508F" w:rsidP="008C31F8">
            <w:pPr>
              <w:spacing w:line="480" w:lineRule="auto"/>
              <w:contextualSpacing/>
              <w:rPr>
                <w:rFonts w:ascii="Times New Roman" w:hAnsi="Times New Roman" w:cs="Times New Roman"/>
                <w:color w:val="0D0D0D" w:themeColor="text1" w:themeTint="F2"/>
                <w:sz w:val="24"/>
                <w:szCs w:val="24"/>
              </w:rPr>
            </w:pPr>
          </w:p>
        </w:tc>
        <w:tc>
          <w:tcPr>
            <w:tcW w:w="3006" w:type="dxa"/>
          </w:tcPr>
          <w:p w:rsidR="00F1508F" w:rsidRPr="008C31F8" w:rsidRDefault="00F1508F" w:rsidP="008C31F8">
            <w:pPr>
              <w:spacing w:line="480" w:lineRule="auto"/>
              <w:contextualSpacing/>
              <w:rPr>
                <w:rFonts w:ascii="Times New Roman" w:hAnsi="Times New Roman" w:cs="Times New Roman"/>
                <w:color w:val="0D0D0D" w:themeColor="text1" w:themeTint="F2"/>
                <w:sz w:val="24"/>
                <w:szCs w:val="24"/>
              </w:rPr>
            </w:pPr>
          </w:p>
        </w:tc>
      </w:tr>
    </w:tbl>
    <w:p w:rsidR="00F47CF3" w:rsidRPr="008C31F8" w:rsidRDefault="00F47CF3" w:rsidP="008C31F8">
      <w:pPr>
        <w:spacing w:after="0" w:line="480" w:lineRule="auto"/>
        <w:contextualSpacing/>
        <w:rPr>
          <w:rFonts w:ascii="Times New Roman" w:hAnsi="Times New Roman" w:cs="Times New Roman"/>
          <w:color w:val="0D0D0D" w:themeColor="text1" w:themeTint="F2"/>
          <w:sz w:val="24"/>
          <w:szCs w:val="24"/>
        </w:rPr>
      </w:pPr>
    </w:p>
    <w:p w:rsidR="002B55D2" w:rsidRPr="008C31F8" w:rsidRDefault="002B55D2" w:rsidP="008C31F8">
      <w:pPr>
        <w:spacing w:after="0" w:line="480" w:lineRule="auto"/>
        <w:contextualSpacing/>
        <w:jc w:val="center"/>
        <w:rPr>
          <w:rFonts w:ascii="Times New Roman" w:hAnsi="Times New Roman" w:cs="Times New Roman"/>
          <w:b/>
          <w:bCs/>
          <w:color w:val="002060"/>
          <w:sz w:val="24"/>
          <w:szCs w:val="24"/>
        </w:rPr>
      </w:pPr>
      <w:r w:rsidRPr="008C31F8">
        <w:rPr>
          <w:rFonts w:ascii="Times New Roman" w:hAnsi="Times New Roman" w:cs="Times New Roman"/>
          <w:b/>
          <w:bCs/>
          <w:color w:val="002060"/>
          <w:sz w:val="24"/>
          <w:szCs w:val="24"/>
        </w:rPr>
        <w:t>Start-Up Costs</w:t>
      </w:r>
      <w:r w:rsidR="008C31F8" w:rsidRPr="008C31F8">
        <w:rPr>
          <w:rFonts w:ascii="Times New Roman" w:hAnsi="Times New Roman" w:cs="Times New Roman"/>
          <w:b/>
          <w:bCs/>
          <w:color w:val="002060"/>
          <w:sz w:val="24"/>
          <w:szCs w:val="24"/>
        </w:rPr>
        <w:t xml:space="preserve"> at other States</w:t>
      </w:r>
    </w:p>
    <w:tbl>
      <w:tblPr>
        <w:tblW w:w="5152" w:type="dxa"/>
        <w:jc w:val="center"/>
        <w:tblLook w:val="04A0"/>
      </w:tblPr>
      <w:tblGrid>
        <w:gridCol w:w="4018"/>
        <w:gridCol w:w="1296"/>
      </w:tblGrid>
      <w:tr w:rsidR="00574917" w:rsidRPr="008C31F8" w:rsidTr="00574917">
        <w:trPr>
          <w:trHeight w:val="255"/>
          <w:jc w:val="center"/>
        </w:trPr>
        <w:tc>
          <w:tcPr>
            <w:tcW w:w="4018" w:type="dxa"/>
            <w:tcBorders>
              <w:top w:val="single" w:sz="4" w:space="0" w:color="AEAAAA"/>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 </w:t>
            </w:r>
          </w:p>
        </w:tc>
        <w:tc>
          <w:tcPr>
            <w:tcW w:w="1134" w:type="dxa"/>
            <w:tcBorders>
              <w:top w:val="single" w:sz="4" w:space="0" w:color="AEAAAA"/>
              <w:left w:val="nil"/>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lastRenderedPageBreak/>
              <w:t>IT and computers</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CA157D"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1,500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Telephones and broadband</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CA157D"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500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Equipment</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CA157D"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60,000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975B02"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Website management</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900C4C"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15,000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Tools</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900C4C"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2,000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Vehicles</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0.00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Professional fees</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900C4C"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750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Insurance</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900C4C"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750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Rent/rent deposit</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900C4C"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2,000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Stationery</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40086E"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50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Marketing</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40086E"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10,000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Consumables</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40086E"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1,000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Licences</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40086E"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750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Training</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40086E"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2,000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Association fees</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40086E"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750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Wages/recruitment</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40086E"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5</w:t>
            </w:r>
            <w:r w:rsidR="00D67B37" w:rsidRPr="008C31F8">
              <w:rPr>
                <w:rFonts w:ascii="Times New Roman" w:eastAsia="Times New Roman" w:hAnsi="Times New Roman" w:cs="Times New Roman"/>
                <w:color w:val="0D0D0D" w:themeColor="text1" w:themeTint="F2"/>
                <w:sz w:val="24"/>
                <w:szCs w:val="24"/>
                <w:lang w:eastAsia="en-GB"/>
              </w:rPr>
              <w:t>0,000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Security/health and safety equipment</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D67B37"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5,000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Market research costs</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D67B37"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5,000</w:t>
            </w:r>
            <w:r w:rsidR="00574917" w:rsidRPr="008C31F8">
              <w:rPr>
                <w:rFonts w:ascii="Times New Roman" w:eastAsia="Times New Roman" w:hAnsi="Times New Roman" w:cs="Times New Roman"/>
                <w:color w:val="0D0D0D" w:themeColor="text1" w:themeTint="F2"/>
                <w:sz w:val="24"/>
                <w:szCs w:val="24"/>
                <w:lang w:eastAsia="en-GB"/>
              </w:rPr>
              <w:t>.00</w:t>
            </w:r>
          </w:p>
        </w:tc>
      </w:tr>
      <w:tr w:rsidR="00574917" w:rsidRPr="008C31F8" w:rsidTr="00574917">
        <w:trPr>
          <w:trHeight w:val="255"/>
          <w:jc w:val="center"/>
        </w:trPr>
        <w:tc>
          <w:tcPr>
            <w:tcW w:w="4018" w:type="dxa"/>
            <w:tcBorders>
              <w:top w:val="nil"/>
              <w:left w:val="single" w:sz="4" w:space="0" w:color="AEAAAA"/>
              <w:bottom w:val="single" w:sz="4" w:space="0" w:color="AEAAAA"/>
              <w:right w:val="single" w:sz="4" w:space="0" w:color="AEAAAA"/>
            </w:tcBorders>
            <w:shd w:val="clear" w:color="auto" w:fill="auto"/>
            <w:noWrap/>
            <w:vAlign w:val="bottom"/>
            <w:hideMark/>
          </w:tcPr>
          <w:p w:rsidR="00574917" w:rsidRPr="008C31F8" w:rsidRDefault="00574917" w:rsidP="008C31F8">
            <w:pPr>
              <w:spacing w:after="0" w:line="480" w:lineRule="auto"/>
              <w:jc w:val="right"/>
              <w:rPr>
                <w:rFonts w:ascii="Times New Roman" w:eastAsia="Times New Roman" w:hAnsi="Times New Roman" w:cs="Times New Roman"/>
                <w:b/>
                <w:bCs/>
                <w:color w:val="0D0D0D" w:themeColor="text1" w:themeTint="F2"/>
                <w:sz w:val="24"/>
                <w:szCs w:val="24"/>
                <w:lang w:eastAsia="en-GB"/>
              </w:rPr>
            </w:pPr>
            <w:r w:rsidRPr="008C31F8">
              <w:rPr>
                <w:rFonts w:ascii="Times New Roman" w:eastAsia="Times New Roman" w:hAnsi="Times New Roman" w:cs="Times New Roman"/>
                <w:b/>
                <w:bCs/>
                <w:color w:val="0D0D0D" w:themeColor="text1" w:themeTint="F2"/>
                <w:sz w:val="24"/>
                <w:szCs w:val="24"/>
                <w:lang w:eastAsia="en-GB"/>
              </w:rPr>
              <w:t>TOTAL  £</w:t>
            </w:r>
          </w:p>
        </w:tc>
        <w:tc>
          <w:tcPr>
            <w:tcW w:w="1134" w:type="dxa"/>
            <w:tcBorders>
              <w:top w:val="nil"/>
              <w:left w:val="nil"/>
              <w:bottom w:val="single" w:sz="4" w:space="0" w:color="AEAAAA"/>
              <w:right w:val="single" w:sz="4" w:space="0" w:color="AEAAAA"/>
            </w:tcBorders>
            <w:shd w:val="clear" w:color="auto" w:fill="auto"/>
            <w:noWrap/>
            <w:vAlign w:val="bottom"/>
            <w:hideMark/>
          </w:tcPr>
          <w:p w:rsidR="00574917" w:rsidRPr="008C31F8" w:rsidRDefault="000B74BB"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157,050</w:t>
            </w:r>
            <w:r w:rsidR="00574917" w:rsidRPr="008C31F8">
              <w:rPr>
                <w:rFonts w:ascii="Times New Roman" w:eastAsia="Times New Roman" w:hAnsi="Times New Roman" w:cs="Times New Roman"/>
                <w:color w:val="0D0D0D" w:themeColor="text1" w:themeTint="F2"/>
                <w:sz w:val="24"/>
                <w:szCs w:val="24"/>
                <w:lang w:eastAsia="en-GB"/>
              </w:rPr>
              <w:t>.00</w:t>
            </w:r>
          </w:p>
        </w:tc>
      </w:tr>
    </w:tbl>
    <w:p w:rsidR="002B55D2" w:rsidRPr="008C31F8" w:rsidRDefault="002B55D2" w:rsidP="008C31F8">
      <w:pPr>
        <w:spacing w:after="0" w:line="480" w:lineRule="auto"/>
        <w:contextualSpacing/>
        <w:jc w:val="center"/>
        <w:rPr>
          <w:rFonts w:ascii="Times New Roman" w:hAnsi="Times New Roman" w:cs="Times New Roman"/>
          <w:b/>
          <w:bCs/>
          <w:color w:val="0D0D0D" w:themeColor="text1" w:themeTint="F2"/>
          <w:sz w:val="24"/>
          <w:szCs w:val="24"/>
        </w:rPr>
      </w:pPr>
    </w:p>
    <w:tbl>
      <w:tblPr>
        <w:tblW w:w="7567" w:type="dxa"/>
        <w:tblLook w:val="04A0"/>
      </w:tblPr>
      <w:tblGrid>
        <w:gridCol w:w="5724"/>
        <w:gridCol w:w="1843"/>
      </w:tblGrid>
      <w:tr w:rsidR="007E0CD8" w:rsidRPr="008C31F8" w:rsidTr="000C5066">
        <w:trPr>
          <w:trHeight w:val="255"/>
        </w:trPr>
        <w:tc>
          <w:tcPr>
            <w:tcW w:w="5724" w:type="dxa"/>
            <w:tcBorders>
              <w:top w:val="nil"/>
              <w:left w:val="nil"/>
              <w:bottom w:val="nil"/>
              <w:right w:val="nil"/>
            </w:tcBorders>
            <w:shd w:val="clear" w:color="auto" w:fill="auto"/>
            <w:noWrap/>
            <w:vAlign w:val="bottom"/>
            <w:hideMark/>
          </w:tcPr>
          <w:p w:rsidR="007E0CD8" w:rsidRPr="008C31F8" w:rsidRDefault="007E0CD8" w:rsidP="008C31F8">
            <w:pPr>
              <w:spacing w:after="0" w:line="480" w:lineRule="auto"/>
              <w:rPr>
                <w:rFonts w:ascii="Times New Roman" w:eastAsia="Times New Roman" w:hAnsi="Times New Roman" w:cs="Times New Roman"/>
                <w:color w:val="0D0D0D" w:themeColor="text1" w:themeTint="F2"/>
                <w:sz w:val="24"/>
                <w:szCs w:val="24"/>
                <w:lang w:eastAsia="en-GB"/>
              </w:rPr>
            </w:pPr>
          </w:p>
        </w:tc>
        <w:tc>
          <w:tcPr>
            <w:tcW w:w="1843" w:type="dxa"/>
            <w:tcBorders>
              <w:top w:val="nil"/>
              <w:left w:val="nil"/>
              <w:bottom w:val="nil"/>
              <w:right w:val="nil"/>
            </w:tcBorders>
            <w:shd w:val="clear" w:color="auto" w:fill="auto"/>
            <w:noWrap/>
            <w:vAlign w:val="bottom"/>
            <w:hideMark/>
          </w:tcPr>
          <w:p w:rsidR="007E0CD8" w:rsidRPr="008C31F8" w:rsidRDefault="007E0CD8" w:rsidP="008C31F8">
            <w:pPr>
              <w:spacing w:after="0" w:line="480" w:lineRule="auto"/>
              <w:rPr>
                <w:rFonts w:ascii="Times New Roman" w:eastAsia="Times New Roman" w:hAnsi="Times New Roman" w:cs="Times New Roman"/>
                <w:color w:val="0D0D0D" w:themeColor="text1" w:themeTint="F2"/>
                <w:sz w:val="24"/>
                <w:szCs w:val="24"/>
                <w:lang w:eastAsia="en-GB"/>
              </w:rPr>
            </w:pPr>
          </w:p>
        </w:tc>
      </w:tr>
      <w:tr w:rsidR="007E0CD8" w:rsidRPr="008C31F8" w:rsidTr="000C5066">
        <w:trPr>
          <w:trHeight w:val="255"/>
        </w:trPr>
        <w:tc>
          <w:tcPr>
            <w:tcW w:w="5724" w:type="dxa"/>
            <w:tcBorders>
              <w:top w:val="nil"/>
              <w:left w:val="nil"/>
              <w:bottom w:val="nil"/>
              <w:right w:val="nil"/>
            </w:tcBorders>
            <w:shd w:val="clear" w:color="auto" w:fill="auto"/>
            <w:noWrap/>
            <w:hideMark/>
          </w:tcPr>
          <w:p w:rsidR="007E0CD8" w:rsidRPr="008C31F8" w:rsidRDefault="007E0CD8" w:rsidP="008C31F8">
            <w:pPr>
              <w:spacing w:after="0" w:line="480" w:lineRule="auto"/>
              <w:rPr>
                <w:rFonts w:ascii="Times New Roman" w:eastAsia="Times New Roman" w:hAnsi="Times New Roman" w:cs="Times New Roman"/>
                <w:b/>
                <w:bCs/>
                <w:color w:val="0D0D0D" w:themeColor="text1" w:themeTint="F2"/>
                <w:sz w:val="24"/>
                <w:szCs w:val="24"/>
                <w:lang w:eastAsia="en-GB"/>
              </w:rPr>
            </w:pPr>
            <w:r w:rsidRPr="008C31F8">
              <w:rPr>
                <w:rFonts w:ascii="Times New Roman" w:eastAsia="Times New Roman" w:hAnsi="Times New Roman" w:cs="Times New Roman"/>
                <w:b/>
                <w:bCs/>
                <w:color w:val="0D0D0D" w:themeColor="text1" w:themeTint="F2"/>
                <w:sz w:val="24"/>
                <w:szCs w:val="24"/>
                <w:lang w:eastAsia="en-GB"/>
              </w:rPr>
              <w:t>Estimated personal income (after tax)</w:t>
            </w:r>
          </w:p>
        </w:tc>
        <w:tc>
          <w:tcPr>
            <w:tcW w:w="1843" w:type="dxa"/>
            <w:tcBorders>
              <w:top w:val="nil"/>
              <w:left w:val="nil"/>
              <w:bottom w:val="nil"/>
              <w:right w:val="nil"/>
            </w:tcBorders>
            <w:shd w:val="clear" w:color="auto" w:fill="auto"/>
            <w:noWrap/>
            <w:vAlign w:val="center"/>
            <w:hideMark/>
          </w:tcPr>
          <w:p w:rsidR="007E0CD8" w:rsidRPr="008C31F8" w:rsidRDefault="007E0CD8" w:rsidP="008C31F8">
            <w:pPr>
              <w:spacing w:after="0" w:line="480" w:lineRule="auto"/>
              <w:rPr>
                <w:rFonts w:ascii="Times New Roman" w:eastAsia="Times New Roman" w:hAnsi="Times New Roman" w:cs="Times New Roman"/>
                <w:b/>
                <w:bCs/>
                <w:color w:val="0D0D0D" w:themeColor="text1" w:themeTint="F2"/>
                <w:sz w:val="24"/>
                <w:szCs w:val="24"/>
                <w:lang w:eastAsia="en-GB"/>
              </w:rPr>
            </w:pPr>
          </w:p>
        </w:tc>
      </w:tr>
      <w:tr w:rsidR="007E0CD8" w:rsidRPr="008C31F8" w:rsidTr="000C5066">
        <w:trPr>
          <w:trHeight w:val="255"/>
        </w:trPr>
        <w:tc>
          <w:tcPr>
            <w:tcW w:w="5724" w:type="dxa"/>
            <w:tcBorders>
              <w:top w:val="single" w:sz="4" w:space="0" w:color="969696"/>
              <w:left w:val="single" w:sz="4" w:space="0" w:color="969696"/>
              <w:bottom w:val="nil"/>
              <w:right w:val="nil"/>
            </w:tcBorders>
            <w:shd w:val="clear" w:color="000000" w:fill="FFFFFF"/>
            <w:noWrap/>
            <w:vAlign w:val="center"/>
            <w:hideMark/>
          </w:tcPr>
          <w:p w:rsidR="007E0CD8" w:rsidRPr="008C31F8" w:rsidRDefault="007E0CD8" w:rsidP="008C31F8">
            <w:pPr>
              <w:spacing w:after="0" w:line="480" w:lineRule="auto"/>
              <w:ind w:firstLineChars="100" w:firstLine="240"/>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Income from family, partner (total)</w:t>
            </w:r>
          </w:p>
        </w:tc>
        <w:tc>
          <w:tcPr>
            <w:tcW w:w="1843" w:type="dxa"/>
            <w:tcBorders>
              <w:top w:val="single" w:sz="4" w:space="0" w:color="969696"/>
              <w:left w:val="single" w:sz="4" w:space="0" w:color="969696"/>
              <w:bottom w:val="single" w:sz="4" w:space="0" w:color="969696"/>
              <w:right w:val="single" w:sz="4" w:space="0" w:color="969696"/>
            </w:tcBorders>
            <w:shd w:val="clear" w:color="000000" w:fill="FFFFFF"/>
            <w:noWrap/>
            <w:vAlign w:val="center"/>
            <w:hideMark/>
          </w:tcPr>
          <w:p w:rsidR="007E0CD8" w:rsidRPr="008C31F8" w:rsidRDefault="0009321D"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25,000</w:t>
            </w:r>
          </w:p>
        </w:tc>
      </w:tr>
      <w:tr w:rsidR="007E0CD8" w:rsidRPr="008C31F8" w:rsidTr="000C5066">
        <w:trPr>
          <w:trHeight w:val="270"/>
        </w:trPr>
        <w:tc>
          <w:tcPr>
            <w:tcW w:w="5724" w:type="dxa"/>
            <w:tcBorders>
              <w:top w:val="single" w:sz="4" w:space="0" w:color="969696"/>
              <w:left w:val="single" w:sz="4" w:space="0" w:color="969696"/>
              <w:bottom w:val="nil"/>
              <w:right w:val="nil"/>
            </w:tcBorders>
            <w:shd w:val="clear" w:color="auto" w:fill="auto"/>
            <w:noWrap/>
            <w:vAlign w:val="center"/>
            <w:hideMark/>
          </w:tcPr>
          <w:p w:rsidR="007E0CD8" w:rsidRPr="008C31F8" w:rsidRDefault="007E0CD8" w:rsidP="008C31F8">
            <w:pPr>
              <w:spacing w:after="0" w:line="480" w:lineRule="auto"/>
              <w:ind w:firstLineChars="100" w:firstLine="240"/>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Other income</w:t>
            </w:r>
          </w:p>
        </w:tc>
        <w:tc>
          <w:tcPr>
            <w:tcW w:w="1843" w:type="dxa"/>
            <w:tcBorders>
              <w:top w:val="nil"/>
              <w:left w:val="single" w:sz="4" w:space="0" w:color="969696"/>
              <w:bottom w:val="single" w:sz="4" w:space="0" w:color="969696"/>
              <w:right w:val="single" w:sz="4" w:space="0" w:color="969696"/>
            </w:tcBorders>
            <w:shd w:val="clear" w:color="000000" w:fill="FFFFFF"/>
            <w:noWrap/>
            <w:vAlign w:val="center"/>
            <w:hideMark/>
          </w:tcPr>
          <w:p w:rsidR="007E0CD8" w:rsidRPr="008C31F8" w:rsidRDefault="00C806F6"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9,000</w:t>
            </w:r>
          </w:p>
        </w:tc>
      </w:tr>
      <w:tr w:rsidR="007E0CD8" w:rsidRPr="008C31F8" w:rsidTr="000C5066">
        <w:trPr>
          <w:trHeight w:val="285"/>
        </w:trPr>
        <w:tc>
          <w:tcPr>
            <w:tcW w:w="5724" w:type="dxa"/>
            <w:tcBorders>
              <w:top w:val="single" w:sz="4" w:space="0" w:color="969696"/>
              <w:left w:val="single" w:sz="4" w:space="0" w:color="969696"/>
              <w:bottom w:val="single" w:sz="4" w:space="0" w:color="969696"/>
              <w:right w:val="single" w:sz="4" w:space="0" w:color="969696"/>
            </w:tcBorders>
            <w:shd w:val="clear" w:color="000000" w:fill="FFFFFF"/>
            <w:noWrap/>
            <w:vAlign w:val="center"/>
            <w:hideMark/>
          </w:tcPr>
          <w:p w:rsidR="007E0CD8" w:rsidRPr="008C31F8" w:rsidRDefault="007E0CD8" w:rsidP="008C31F8">
            <w:pPr>
              <w:spacing w:after="0" w:line="480" w:lineRule="auto"/>
              <w:ind w:firstLineChars="100" w:firstLine="241"/>
              <w:jc w:val="right"/>
              <w:rPr>
                <w:rFonts w:ascii="Times New Roman" w:eastAsia="Times New Roman" w:hAnsi="Times New Roman" w:cs="Times New Roman"/>
                <w:b/>
                <w:bCs/>
                <w:color w:val="0D0D0D" w:themeColor="text1" w:themeTint="F2"/>
                <w:sz w:val="24"/>
                <w:szCs w:val="24"/>
                <w:lang w:eastAsia="en-GB"/>
              </w:rPr>
            </w:pPr>
            <w:r w:rsidRPr="008C31F8">
              <w:rPr>
                <w:rFonts w:ascii="Times New Roman" w:eastAsia="Times New Roman" w:hAnsi="Times New Roman" w:cs="Times New Roman"/>
                <w:b/>
                <w:bCs/>
                <w:color w:val="0D0D0D" w:themeColor="text1" w:themeTint="F2"/>
                <w:sz w:val="24"/>
                <w:szCs w:val="24"/>
                <w:lang w:eastAsia="en-GB"/>
              </w:rPr>
              <w:lastRenderedPageBreak/>
              <w:t>Total personal income</w:t>
            </w:r>
          </w:p>
        </w:tc>
        <w:tc>
          <w:tcPr>
            <w:tcW w:w="1843" w:type="dxa"/>
            <w:tcBorders>
              <w:top w:val="single" w:sz="12" w:space="0" w:color="969696"/>
              <w:left w:val="single" w:sz="12" w:space="0" w:color="969696"/>
              <w:bottom w:val="single" w:sz="12" w:space="0" w:color="969696"/>
              <w:right w:val="single" w:sz="12" w:space="0" w:color="969696"/>
            </w:tcBorders>
            <w:shd w:val="clear" w:color="000000" w:fill="FFFFFF"/>
            <w:noWrap/>
            <w:vAlign w:val="center"/>
            <w:hideMark/>
          </w:tcPr>
          <w:p w:rsidR="007E0CD8" w:rsidRPr="008C31F8" w:rsidRDefault="002F03ED"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34,000</w:t>
            </w:r>
          </w:p>
        </w:tc>
      </w:tr>
      <w:tr w:rsidR="007E0CD8" w:rsidRPr="008C31F8" w:rsidTr="000C5066">
        <w:trPr>
          <w:trHeight w:val="285"/>
        </w:trPr>
        <w:tc>
          <w:tcPr>
            <w:tcW w:w="5724" w:type="dxa"/>
            <w:tcBorders>
              <w:top w:val="nil"/>
              <w:left w:val="nil"/>
              <w:bottom w:val="nil"/>
              <w:right w:val="nil"/>
            </w:tcBorders>
            <w:shd w:val="clear" w:color="auto" w:fill="auto"/>
            <w:noWrap/>
            <w:vAlign w:val="bottom"/>
            <w:hideMark/>
          </w:tcPr>
          <w:p w:rsidR="007E0CD8" w:rsidRPr="008C31F8" w:rsidRDefault="007E0CD8" w:rsidP="008C31F8">
            <w:pPr>
              <w:spacing w:after="0" w:line="480" w:lineRule="auto"/>
              <w:jc w:val="right"/>
              <w:rPr>
                <w:rFonts w:ascii="Times New Roman" w:eastAsia="Times New Roman" w:hAnsi="Times New Roman" w:cs="Times New Roman"/>
                <w:color w:val="0D0D0D" w:themeColor="text1" w:themeTint="F2"/>
                <w:sz w:val="24"/>
                <w:szCs w:val="24"/>
                <w:lang w:eastAsia="en-GB"/>
              </w:rPr>
            </w:pPr>
          </w:p>
        </w:tc>
        <w:tc>
          <w:tcPr>
            <w:tcW w:w="1843" w:type="dxa"/>
            <w:tcBorders>
              <w:top w:val="nil"/>
              <w:left w:val="nil"/>
              <w:bottom w:val="nil"/>
              <w:right w:val="nil"/>
            </w:tcBorders>
            <w:shd w:val="clear" w:color="auto" w:fill="auto"/>
            <w:noWrap/>
            <w:vAlign w:val="bottom"/>
            <w:hideMark/>
          </w:tcPr>
          <w:p w:rsidR="007E0CD8" w:rsidRPr="008C31F8" w:rsidRDefault="007E0CD8" w:rsidP="008C31F8">
            <w:pPr>
              <w:spacing w:after="0" w:line="480" w:lineRule="auto"/>
              <w:rPr>
                <w:rFonts w:ascii="Times New Roman" w:eastAsia="Times New Roman" w:hAnsi="Times New Roman" w:cs="Times New Roman"/>
                <w:color w:val="0D0D0D" w:themeColor="text1" w:themeTint="F2"/>
                <w:sz w:val="24"/>
                <w:szCs w:val="24"/>
                <w:lang w:eastAsia="en-GB"/>
              </w:rPr>
            </w:pPr>
          </w:p>
        </w:tc>
      </w:tr>
      <w:tr w:rsidR="007E0CD8" w:rsidRPr="008C31F8" w:rsidTr="000C5066">
        <w:trPr>
          <w:trHeight w:val="285"/>
        </w:trPr>
        <w:tc>
          <w:tcPr>
            <w:tcW w:w="5724" w:type="dxa"/>
            <w:tcBorders>
              <w:top w:val="single" w:sz="4" w:space="0" w:color="969696"/>
              <w:left w:val="single" w:sz="4" w:space="0" w:color="969696"/>
              <w:bottom w:val="single" w:sz="4" w:space="0" w:color="969696"/>
              <w:right w:val="nil"/>
            </w:tcBorders>
            <w:shd w:val="clear" w:color="000000" w:fill="FFFFFF"/>
            <w:noWrap/>
            <w:vAlign w:val="center"/>
            <w:hideMark/>
          </w:tcPr>
          <w:p w:rsidR="007E0CD8" w:rsidRPr="008C31F8" w:rsidRDefault="007E0CD8" w:rsidP="008C31F8">
            <w:pPr>
              <w:spacing w:after="0" w:line="480" w:lineRule="auto"/>
              <w:ind w:firstLineChars="100" w:firstLine="241"/>
              <w:rPr>
                <w:rFonts w:ascii="Times New Roman" w:eastAsia="Times New Roman" w:hAnsi="Times New Roman" w:cs="Times New Roman"/>
                <w:b/>
                <w:bCs/>
                <w:color w:val="0D0D0D" w:themeColor="text1" w:themeTint="F2"/>
                <w:sz w:val="24"/>
                <w:szCs w:val="24"/>
                <w:lang w:eastAsia="en-GB"/>
              </w:rPr>
            </w:pPr>
            <w:r w:rsidRPr="008C31F8">
              <w:rPr>
                <w:rFonts w:ascii="Times New Roman" w:eastAsia="Times New Roman" w:hAnsi="Times New Roman" w:cs="Times New Roman"/>
                <w:b/>
                <w:bCs/>
                <w:color w:val="0D0D0D" w:themeColor="text1" w:themeTint="F2"/>
                <w:sz w:val="24"/>
                <w:szCs w:val="24"/>
                <w:lang w:eastAsia="en-GB"/>
              </w:rPr>
              <w:t>Total survival income required from the business (after tax)</w:t>
            </w:r>
          </w:p>
        </w:tc>
        <w:tc>
          <w:tcPr>
            <w:tcW w:w="1843" w:type="dxa"/>
            <w:tcBorders>
              <w:top w:val="single" w:sz="12" w:space="0" w:color="969696"/>
              <w:left w:val="single" w:sz="12" w:space="0" w:color="969696"/>
              <w:bottom w:val="single" w:sz="12" w:space="0" w:color="969696"/>
              <w:right w:val="single" w:sz="12" w:space="0" w:color="969696"/>
            </w:tcBorders>
            <w:shd w:val="clear" w:color="000000" w:fill="FFFFFF"/>
            <w:noWrap/>
            <w:vAlign w:val="center"/>
            <w:hideMark/>
          </w:tcPr>
          <w:p w:rsidR="007E0CD8" w:rsidRPr="008C31F8" w:rsidRDefault="000214B5" w:rsidP="008C31F8">
            <w:pPr>
              <w:spacing w:after="0" w:line="480" w:lineRule="auto"/>
              <w:jc w:val="right"/>
              <w:rPr>
                <w:rFonts w:ascii="Times New Roman" w:eastAsia="Times New Roman" w:hAnsi="Times New Roman" w:cs="Times New Roman"/>
                <w:b/>
                <w:bCs/>
                <w:color w:val="0D0D0D" w:themeColor="text1" w:themeTint="F2"/>
                <w:sz w:val="24"/>
                <w:szCs w:val="24"/>
                <w:lang w:eastAsia="en-GB"/>
              </w:rPr>
            </w:pPr>
            <w:r w:rsidRPr="008C31F8">
              <w:rPr>
                <w:rFonts w:ascii="Times New Roman" w:eastAsia="Times New Roman" w:hAnsi="Times New Roman" w:cs="Times New Roman"/>
                <w:b/>
                <w:bCs/>
                <w:color w:val="0D0D0D" w:themeColor="text1" w:themeTint="F2"/>
                <w:sz w:val="24"/>
                <w:szCs w:val="24"/>
                <w:lang w:eastAsia="en-GB"/>
              </w:rPr>
              <w:t>8,600</w:t>
            </w:r>
          </w:p>
        </w:tc>
      </w:tr>
      <w:tr w:rsidR="007E0CD8" w:rsidRPr="008C31F8" w:rsidTr="000C5066">
        <w:trPr>
          <w:trHeight w:val="270"/>
        </w:trPr>
        <w:tc>
          <w:tcPr>
            <w:tcW w:w="5724" w:type="dxa"/>
            <w:tcBorders>
              <w:top w:val="nil"/>
              <w:left w:val="nil"/>
              <w:bottom w:val="nil"/>
              <w:right w:val="nil"/>
            </w:tcBorders>
            <w:shd w:val="clear" w:color="auto" w:fill="auto"/>
            <w:noWrap/>
            <w:vAlign w:val="bottom"/>
            <w:hideMark/>
          </w:tcPr>
          <w:p w:rsidR="007E0CD8" w:rsidRPr="008C31F8" w:rsidRDefault="007E0CD8" w:rsidP="008C31F8">
            <w:pPr>
              <w:spacing w:after="0" w:line="480" w:lineRule="auto"/>
              <w:jc w:val="right"/>
              <w:rPr>
                <w:rFonts w:ascii="Times New Roman" w:eastAsia="Times New Roman" w:hAnsi="Times New Roman" w:cs="Times New Roman"/>
                <w:b/>
                <w:bCs/>
                <w:color w:val="0D0D0D" w:themeColor="text1" w:themeTint="F2"/>
                <w:sz w:val="24"/>
                <w:szCs w:val="24"/>
                <w:lang w:eastAsia="en-GB"/>
              </w:rPr>
            </w:pPr>
          </w:p>
        </w:tc>
        <w:tc>
          <w:tcPr>
            <w:tcW w:w="1843" w:type="dxa"/>
            <w:tcBorders>
              <w:top w:val="nil"/>
              <w:left w:val="nil"/>
              <w:bottom w:val="nil"/>
              <w:right w:val="nil"/>
            </w:tcBorders>
            <w:shd w:val="clear" w:color="auto" w:fill="auto"/>
            <w:noWrap/>
            <w:vAlign w:val="bottom"/>
            <w:hideMark/>
          </w:tcPr>
          <w:p w:rsidR="007E0CD8" w:rsidRPr="008C31F8" w:rsidRDefault="007E0CD8" w:rsidP="008C31F8">
            <w:pPr>
              <w:spacing w:after="0" w:line="480" w:lineRule="auto"/>
              <w:rPr>
                <w:rFonts w:ascii="Times New Roman" w:eastAsia="Times New Roman" w:hAnsi="Times New Roman" w:cs="Times New Roman"/>
                <w:color w:val="0D0D0D" w:themeColor="text1" w:themeTint="F2"/>
                <w:sz w:val="24"/>
                <w:szCs w:val="24"/>
                <w:lang w:eastAsia="en-GB"/>
              </w:rPr>
            </w:pPr>
          </w:p>
        </w:tc>
      </w:tr>
      <w:tr w:rsidR="007E0CD8" w:rsidRPr="008C31F8" w:rsidTr="000C5066">
        <w:trPr>
          <w:trHeight w:val="255"/>
        </w:trPr>
        <w:tc>
          <w:tcPr>
            <w:tcW w:w="5724" w:type="dxa"/>
            <w:tcBorders>
              <w:top w:val="nil"/>
              <w:left w:val="nil"/>
              <w:bottom w:val="nil"/>
              <w:right w:val="nil"/>
            </w:tcBorders>
            <w:shd w:val="clear" w:color="auto" w:fill="auto"/>
            <w:noWrap/>
            <w:vAlign w:val="bottom"/>
            <w:hideMark/>
          </w:tcPr>
          <w:p w:rsidR="007E0CD8" w:rsidRPr="008C31F8" w:rsidRDefault="007E0CD8" w:rsidP="008C31F8">
            <w:pPr>
              <w:spacing w:after="0" w:line="480" w:lineRule="auto"/>
              <w:rPr>
                <w:rFonts w:ascii="Times New Roman" w:eastAsia="Times New Roman" w:hAnsi="Times New Roman" w:cs="Times New Roman"/>
                <w:b/>
                <w:bCs/>
                <w:color w:val="0D0D0D" w:themeColor="text1" w:themeTint="F2"/>
                <w:sz w:val="24"/>
                <w:szCs w:val="24"/>
                <w:lang w:eastAsia="en-GB"/>
              </w:rPr>
            </w:pPr>
            <w:r w:rsidRPr="008C31F8">
              <w:rPr>
                <w:rFonts w:ascii="Times New Roman" w:eastAsia="Times New Roman" w:hAnsi="Times New Roman" w:cs="Times New Roman"/>
                <w:b/>
                <w:bCs/>
                <w:color w:val="0D0D0D" w:themeColor="text1" w:themeTint="F2"/>
                <w:sz w:val="24"/>
                <w:szCs w:val="24"/>
                <w:lang w:eastAsia="en-GB"/>
              </w:rPr>
              <w:t>Current income</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E0CD8" w:rsidRPr="008C31F8" w:rsidRDefault="007E0CD8" w:rsidP="008C31F8">
            <w:pPr>
              <w:spacing w:after="0" w:line="480" w:lineRule="auto"/>
              <w:jc w:val="right"/>
              <w:rPr>
                <w:rFonts w:ascii="Times New Roman" w:eastAsia="Times New Roman" w:hAnsi="Times New Roman" w:cs="Times New Roman"/>
                <w:color w:val="0D0D0D" w:themeColor="text1" w:themeTint="F2"/>
                <w:sz w:val="24"/>
                <w:szCs w:val="24"/>
                <w:lang w:eastAsia="en-GB"/>
              </w:rPr>
            </w:pPr>
            <w:r w:rsidRPr="008C31F8">
              <w:rPr>
                <w:rFonts w:ascii="Times New Roman" w:eastAsia="Times New Roman" w:hAnsi="Times New Roman" w:cs="Times New Roman"/>
                <w:color w:val="0D0D0D" w:themeColor="text1" w:themeTint="F2"/>
                <w:sz w:val="24"/>
                <w:szCs w:val="24"/>
                <w:lang w:eastAsia="en-GB"/>
              </w:rPr>
              <w:t xml:space="preserve"> £                </w:t>
            </w:r>
            <w:r w:rsidR="000214B5" w:rsidRPr="008C31F8">
              <w:rPr>
                <w:rFonts w:ascii="Times New Roman" w:eastAsia="Times New Roman" w:hAnsi="Times New Roman" w:cs="Times New Roman"/>
                <w:color w:val="0D0D0D" w:themeColor="text1" w:themeTint="F2"/>
                <w:sz w:val="24"/>
                <w:szCs w:val="24"/>
                <w:lang w:eastAsia="en-GB"/>
              </w:rPr>
              <w:t>34,000</w:t>
            </w:r>
          </w:p>
        </w:tc>
      </w:tr>
    </w:tbl>
    <w:p w:rsidR="000B74BB" w:rsidRPr="008C31F8" w:rsidRDefault="000B74BB" w:rsidP="008C31F8">
      <w:pPr>
        <w:spacing w:after="0" w:line="480" w:lineRule="auto"/>
        <w:contextualSpacing/>
        <w:jc w:val="center"/>
        <w:rPr>
          <w:rFonts w:ascii="Times New Roman" w:hAnsi="Times New Roman" w:cs="Times New Roman"/>
          <w:b/>
          <w:bCs/>
          <w:color w:val="0D0D0D" w:themeColor="text1" w:themeTint="F2"/>
          <w:sz w:val="24"/>
          <w:szCs w:val="24"/>
        </w:rPr>
      </w:pPr>
    </w:p>
    <w:p w:rsidR="003162BE" w:rsidRPr="008C31F8" w:rsidRDefault="003162BE" w:rsidP="008C31F8">
      <w:pPr>
        <w:spacing w:after="0" w:line="480" w:lineRule="auto"/>
        <w:contextualSpacing/>
        <w:jc w:val="center"/>
        <w:rPr>
          <w:rFonts w:ascii="Times New Roman" w:hAnsi="Times New Roman" w:cs="Times New Roman"/>
          <w:b/>
          <w:bCs/>
          <w:color w:val="0D0D0D" w:themeColor="text1" w:themeTint="F2"/>
          <w:sz w:val="24"/>
          <w:szCs w:val="24"/>
        </w:rPr>
      </w:pPr>
    </w:p>
    <w:p w:rsidR="00BD5FDC" w:rsidRPr="008C31F8" w:rsidRDefault="00BD5FDC" w:rsidP="008C31F8">
      <w:pPr>
        <w:spacing w:after="0" w:line="480" w:lineRule="auto"/>
        <w:contextualSpacing/>
        <w:jc w:val="center"/>
        <w:rPr>
          <w:rFonts w:ascii="Times New Roman" w:hAnsi="Times New Roman" w:cs="Times New Roman"/>
          <w:b/>
          <w:bCs/>
          <w:color w:val="0D0D0D" w:themeColor="text1" w:themeTint="F2"/>
          <w:sz w:val="24"/>
          <w:szCs w:val="24"/>
        </w:rPr>
      </w:pPr>
      <w:r w:rsidRPr="008C31F8">
        <w:rPr>
          <w:rFonts w:ascii="Times New Roman" w:hAnsi="Times New Roman" w:cs="Times New Roman"/>
          <w:b/>
          <w:bCs/>
          <w:color w:val="0D0D0D" w:themeColor="text1" w:themeTint="F2"/>
          <w:sz w:val="24"/>
          <w:szCs w:val="24"/>
        </w:rPr>
        <w:t>Profit and Loss Forecast</w:t>
      </w:r>
    </w:p>
    <w:tbl>
      <w:tblPr>
        <w:tblW w:w="7580" w:type="dxa"/>
        <w:tblLook w:val="04A0"/>
      </w:tblPr>
      <w:tblGrid>
        <w:gridCol w:w="4592"/>
        <w:gridCol w:w="996"/>
        <w:gridCol w:w="996"/>
        <w:gridCol w:w="996"/>
      </w:tblGrid>
      <w:tr w:rsidR="00B040EC" w:rsidRPr="008C31F8" w:rsidTr="00B040EC">
        <w:trPr>
          <w:trHeight w:val="315"/>
        </w:trPr>
        <w:tc>
          <w:tcPr>
            <w:tcW w:w="4760" w:type="dxa"/>
            <w:tcBorders>
              <w:top w:val="nil"/>
              <w:left w:val="nil"/>
              <w:bottom w:val="single" w:sz="8" w:space="0" w:color="800080"/>
              <w:right w:val="nil"/>
            </w:tcBorders>
            <w:shd w:val="clear" w:color="auto" w:fill="auto"/>
            <w:vAlign w:val="center"/>
            <w:hideMark/>
          </w:tcPr>
          <w:p w:rsidR="00B040EC" w:rsidRPr="008C31F8" w:rsidRDefault="00B040EC" w:rsidP="008C31F8">
            <w:pPr>
              <w:spacing w:after="0" w:line="480" w:lineRule="auto"/>
              <w:jc w:val="center"/>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 </w:t>
            </w:r>
          </w:p>
        </w:tc>
        <w:tc>
          <w:tcPr>
            <w:tcW w:w="940" w:type="dxa"/>
            <w:tcBorders>
              <w:top w:val="nil"/>
              <w:left w:val="nil"/>
              <w:bottom w:val="single" w:sz="8" w:space="0" w:color="800080"/>
              <w:right w:val="nil"/>
            </w:tcBorders>
            <w:shd w:val="clear" w:color="auto" w:fill="auto"/>
            <w:noWrap/>
            <w:vAlign w:val="center"/>
            <w:hideMark/>
          </w:tcPr>
          <w:p w:rsidR="00B040EC" w:rsidRPr="008C31F8" w:rsidRDefault="00B040EC"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Year 1 (£)</w:t>
            </w:r>
          </w:p>
        </w:tc>
        <w:tc>
          <w:tcPr>
            <w:tcW w:w="940" w:type="dxa"/>
            <w:tcBorders>
              <w:top w:val="nil"/>
              <w:left w:val="nil"/>
              <w:bottom w:val="single" w:sz="8" w:space="0" w:color="800080"/>
              <w:right w:val="nil"/>
            </w:tcBorders>
            <w:shd w:val="clear" w:color="auto" w:fill="auto"/>
            <w:noWrap/>
            <w:vAlign w:val="center"/>
            <w:hideMark/>
          </w:tcPr>
          <w:p w:rsidR="00B040EC" w:rsidRPr="008C31F8" w:rsidRDefault="00B040EC"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Year 2 (£)</w:t>
            </w:r>
          </w:p>
        </w:tc>
        <w:tc>
          <w:tcPr>
            <w:tcW w:w="940" w:type="dxa"/>
            <w:tcBorders>
              <w:top w:val="nil"/>
              <w:left w:val="nil"/>
              <w:bottom w:val="single" w:sz="8" w:space="0" w:color="800080"/>
              <w:right w:val="nil"/>
            </w:tcBorders>
            <w:shd w:val="clear" w:color="auto" w:fill="auto"/>
            <w:noWrap/>
            <w:vAlign w:val="center"/>
            <w:hideMark/>
          </w:tcPr>
          <w:p w:rsidR="00B040EC" w:rsidRPr="008C31F8" w:rsidRDefault="00B040EC"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Year 3 (£)</w:t>
            </w:r>
          </w:p>
        </w:tc>
      </w:tr>
      <w:tr w:rsidR="00B040EC" w:rsidRPr="008C31F8" w:rsidTr="00B040EC">
        <w:trPr>
          <w:trHeight w:val="300"/>
        </w:trPr>
        <w:tc>
          <w:tcPr>
            <w:tcW w:w="4760" w:type="dxa"/>
            <w:tcBorders>
              <w:top w:val="nil"/>
              <w:left w:val="single" w:sz="4" w:space="0" w:color="800080"/>
              <w:bottom w:val="single" w:sz="4" w:space="0" w:color="800080"/>
              <w:right w:val="single" w:sz="4" w:space="0" w:color="800080"/>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Total expected sales</w:t>
            </w:r>
          </w:p>
        </w:tc>
        <w:tc>
          <w:tcPr>
            <w:tcW w:w="940" w:type="dxa"/>
            <w:tcBorders>
              <w:top w:val="nil"/>
              <w:left w:val="nil"/>
              <w:bottom w:val="single" w:sz="4" w:space="0" w:color="800080"/>
              <w:right w:val="single" w:sz="4" w:space="0" w:color="800080"/>
            </w:tcBorders>
            <w:shd w:val="clear" w:color="000000" w:fill="CC99FF"/>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330,000</w:t>
            </w:r>
          </w:p>
        </w:tc>
        <w:tc>
          <w:tcPr>
            <w:tcW w:w="940" w:type="dxa"/>
            <w:tcBorders>
              <w:top w:val="nil"/>
              <w:left w:val="nil"/>
              <w:bottom w:val="single" w:sz="4" w:space="0" w:color="800080"/>
              <w:right w:val="single" w:sz="4" w:space="0" w:color="800080"/>
            </w:tcBorders>
            <w:shd w:val="clear" w:color="000000" w:fill="CC99FF"/>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450,000</w:t>
            </w:r>
          </w:p>
        </w:tc>
        <w:tc>
          <w:tcPr>
            <w:tcW w:w="940" w:type="dxa"/>
            <w:tcBorders>
              <w:top w:val="nil"/>
              <w:left w:val="nil"/>
              <w:bottom w:val="single" w:sz="4" w:space="0" w:color="800080"/>
              <w:right w:val="single" w:sz="4" w:space="0" w:color="800080"/>
            </w:tcBorders>
            <w:shd w:val="clear" w:color="000000" w:fill="CC99FF"/>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700,000</w:t>
            </w:r>
          </w:p>
        </w:tc>
      </w:tr>
      <w:tr w:rsidR="00B040EC" w:rsidRPr="008C31F8" w:rsidTr="00B040EC">
        <w:trPr>
          <w:trHeight w:val="300"/>
        </w:trPr>
        <w:tc>
          <w:tcPr>
            <w:tcW w:w="4760" w:type="dxa"/>
            <w:tcBorders>
              <w:top w:val="nil"/>
              <w:left w:val="single" w:sz="4" w:space="0" w:color="800080"/>
              <w:bottom w:val="single" w:sz="4" w:space="0" w:color="800080"/>
              <w:right w:val="single" w:sz="4" w:space="0" w:color="800080"/>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Less variable costs</w:t>
            </w:r>
          </w:p>
        </w:tc>
        <w:tc>
          <w:tcPr>
            <w:tcW w:w="940" w:type="dxa"/>
            <w:tcBorders>
              <w:top w:val="nil"/>
              <w:left w:val="nil"/>
              <w:bottom w:val="single" w:sz="4" w:space="0" w:color="800080"/>
              <w:right w:val="single" w:sz="4" w:space="0" w:color="800080"/>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80,000</w:t>
            </w:r>
          </w:p>
        </w:tc>
        <w:tc>
          <w:tcPr>
            <w:tcW w:w="940" w:type="dxa"/>
            <w:tcBorders>
              <w:top w:val="nil"/>
              <w:left w:val="nil"/>
              <w:bottom w:val="single" w:sz="4" w:space="0" w:color="800080"/>
              <w:right w:val="single" w:sz="4" w:space="0" w:color="800080"/>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36,000</w:t>
            </w:r>
          </w:p>
        </w:tc>
        <w:tc>
          <w:tcPr>
            <w:tcW w:w="940" w:type="dxa"/>
            <w:tcBorders>
              <w:top w:val="nil"/>
              <w:left w:val="nil"/>
              <w:bottom w:val="single" w:sz="4" w:space="0" w:color="800080"/>
              <w:right w:val="single" w:sz="4" w:space="0" w:color="800080"/>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76,000</w:t>
            </w:r>
          </w:p>
        </w:tc>
      </w:tr>
      <w:tr w:rsidR="00B040EC" w:rsidRPr="008C31F8" w:rsidTr="00B040EC">
        <w:trPr>
          <w:trHeight w:val="300"/>
        </w:trPr>
        <w:tc>
          <w:tcPr>
            <w:tcW w:w="4760" w:type="dxa"/>
            <w:tcBorders>
              <w:top w:val="nil"/>
              <w:left w:val="single" w:sz="4" w:space="0" w:color="800080"/>
              <w:bottom w:val="single" w:sz="4" w:space="0" w:color="800080"/>
              <w:right w:val="single" w:sz="4" w:space="0" w:color="800080"/>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 xml:space="preserve">Gross profit (sales less variable costs) = </w:t>
            </w:r>
          </w:p>
        </w:tc>
        <w:tc>
          <w:tcPr>
            <w:tcW w:w="940" w:type="dxa"/>
            <w:tcBorders>
              <w:top w:val="nil"/>
              <w:left w:val="nil"/>
              <w:bottom w:val="single" w:sz="4" w:space="0" w:color="800080"/>
              <w:right w:val="single" w:sz="4" w:space="0" w:color="800080"/>
            </w:tcBorders>
            <w:shd w:val="clear" w:color="000000" w:fill="CC99FF"/>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250,000</w:t>
            </w:r>
          </w:p>
        </w:tc>
        <w:tc>
          <w:tcPr>
            <w:tcW w:w="940" w:type="dxa"/>
            <w:tcBorders>
              <w:top w:val="nil"/>
              <w:left w:val="nil"/>
              <w:bottom w:val="single" w:sz="4" w:space="0" w:color="800080"/>
              <w:right w:val="single" w:sz="4" w:space="0" w:color="800080"/>
            </w:tcBorders>
            <w:shd w:val="clear" w:color="000000" w:fill="CC99FF"/>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414,000</w:t>
            </w:r>
          </w:p>
        </w:tc>
        <w:tc>
          <w:tcPr>
            <w:tcW w:w="940" w:type="dxa"/>
            <w:tcBorders>
              <w:top w:val="nil"/>
              <w:left w:val="nil"/>
              <w:bottom w:val="single" w:sz="4" w:space="0" w:color="800080"/>
              <w:right w:val="single" w:sz="4" w:space="0" w:color="800080"/>
            </w:tcBorders>
            <w:shd w:val="clear" w:color="000000" w:fill="CC99FF"/>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624,000</w:t>
            </w:r>
          </w:p>
        </w:tc>
      </w:tr>
      <w:tr w:rsidR="00B040EC" w:rsidRPr="008C31F8" w:rsidTr="00B040EC">
        <w:trPr>
          <w:trHeight w:val="615"/>
        </w:trPr>
        <w:tc>
          <w:tcPr>
            <w:tcW w:w="4760" w:type="dxa"/>
            <w:tcBorders>
              <w:top w:val="nil"/>
              <w:left w:val="single" w:sz="4" w:space="0" w:color="800080"/>
              <w:bottom w:val="single" w:sz="8" w:space="0" w:color="800080"/>
              <w:right w:val="single" w:sz="4" w:space="0" w:color="800080"/>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 xml:space="preserve">Calculate your gross profit margin </w:t>
            </w:r>
            <w:r w:rsidRPr="008C31F8">
              <w:rPr>
                <w:rFonts w:ascii="Times New Roman" w:eastAsia="Times New Roman" w:hAnsi="Times New Roman" w:cs="Times New Roman"/>
                <w:color w:val="0D0D0D" w:themeColor="text1" w:themeTint="F2"/>
                <w:sz w:val="24"/>
                <w:szCs w:val="24"/>
              </w:rPr>
              <w:t>%</w:t>
            </w:r>
            <w:r w:rsidRPr="008C31F8">
              <w:rPr>
                <w:rFonts w:ascii="Times New Roman" w:eastAsia="Times New Roman" w:hAnsi="Times New Roman" w:cs="Times New Roman"/>
                <w:b/>
                <w:bCs/>
                <w:color w:val="0D0D0D" w:themeColor="text1" w:themeTint="F2"/>
                <w:sz w:val="24"/>
                <w:szCs w:val="24"/>
              </w:rPr>
              <w:t xml:space="preserve"> (gross profit divided by total sales x  100) (A)</w:t>
            </w:r>
          </w:p>
        </w:tc>
        <w:tc>
          <w:tcPr>
            <w:tcW w:w="940" w:type="dxa"/>
            <w:tcBorders>
              <w:top w:val="nil"/>
              <w:left w:val="nil"/>
              <w:bottom w:val="single" w:sz="8" w:space="0" w:color="800080"/>
              <w:right w:val="single" w:sz="4" w:space="0" w:color="800080"/>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w:t>
            </w:r>
          </w:p>
        </w:tc>
        <w:tc>
          <w:tcPr>
            <w:tcW w:w="940" w:type="dxa"/>
            <w:tcBorders>
              <w:top w:val="nil"/>
              <w:left w:val="nil"/>
              <w:bottom w:val="single" w:sz="8" w:space="0" w:color="800080"/>
              <w:right w:val="single" w:sz="4" w:space="0" w:color="800080"/>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w:t>
            </w:r>
          </w:p>
        </w:tc>
        <w:tc>
          <w:tcPr>
            <w:tcW w:w="940" w:type="dxa"/>
            <w:tcBorders>
              <w:top w:val="nil"/>
              <w:left w:val="nil"/>
              <w:bottom w:val="single" w:sz="8" w:space="0" w:color="800080"/>
              <w:right w:val="single" w:sz="4" w:space="0" w:color="800080"/>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r>
      <w:tr w:rsidR="00B040EC" w:rsidRPr="008C31F8" w:rsidTr="00B040EC">
        <w:trPr>
          <w:trHeight w:val="300"/>
        </w:trPr>
        <w:tc>
          <w:tcPr>
            <w:tcW w:w="4760" w:type="dxa"/>
            <w:tcBorders>
              <w:top w:val="nil"/>
              <w:left w:val="nil"/>
              <w:bottom w:val="nil"/>
              <w:right w:val="nil"/>
            </w:tcBorders>
            <w:shd w:val="clear" w:color="auto" w:fill="auto"/>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p>
        </w:tc>
      </w:tr>
      <w:tr w:rsidR="00B040EC" w:rsidRPr="008C31F8" w:rsidTr="00B040EC">
        <w:trPr>
          <w:trHeight w:val="300"/>
        </w:trPr>
        <w:tc>
          <w:tcPr>
            <w:tcW w:w="4760" w:type="dxa"/>
            <w:tcBorders>
              <w:top w:val="nil"/>
              <w:left w:val="nil"/>
              <w:bottom w:val="nil"/>
              <w:right w:val="nil"/>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Salaries/wages (survival income + any staff</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60,000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70,000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75,000</w:t>
            </w:r>
          </w:p>
        </w:tc>
      </w:tr>
      <w:tr w:rsidR="00B040EC" w:rsidRPr="008C31F8" w:rsidTr="00B040EC">
        <w:trPr>
          <w:trHeight w:val="300"/>
        </w:trPr>
        <w:tc>
          <w:tcPr>
            <w:tcW w:w="4760" w:type="dxa"/>
            <w:tcBorders>
              <w:top w:val="nil"/>
              <w:left w:val="nil"/>
              <w:bottom w:val="nil"/>
              <w:right w:val="nil"/>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Premises (including rent, rates, utilities)</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25,000</w:t>
            </w:r>
          </w:p>
        </w:tc>
      </w:tr>
      <w:tr w:rsidR="00B040EC" w:rsidRPr="008C31F8" w:rsidTr="00B040EC">
        <w:trPr>
          <w:trHeight w:val="300"/>
        </w:trPr>
        <w:tc>
          <w:tcPr>
            <w:tcW w:w="4760" w:type="dxa"/>
            <w:tcBorders>
              <w:top w:val="nil"/>
              <w:left w:val="nil"/>
              <w:bottom w:val="nil"/>
              <w:right w:val="nil"/>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Telephone and broadband</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1,000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1,000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1,000</w:t>
            </w:r>
          </w:p>
        </w:tc>
      </w:tr>
      <w:tr w:rsidR="00B040EC" w:rsidRPr="008C31F8" w:rsidTr="00B040EC">
        <w:trPr>
          <w:trHeight w:val="300"/>
        </w:trPr>
        <w:tc>
          <w:tcPr>
            <w:tcW w:w="4760" w:type="dxa"/>
            <w:tcBorders>
              <w:top w:val="nil"/>
              <w:left w:val="nil"/>
              <w:bottom w:val="nil"/>
              <w:right w:val="nil"/>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Printing, post and stationery</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1,500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1,500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1,500</w:t>
            </w:r>
          </w:p>
        </w:tc>
      </w:tr>
      <w:tr w:rsidR="00B040EC" w:rsidRPr="008C31F8" w:rsidTr="00B040EC">
        <w:trPr>
          <w:trHeight w:val="300"/>
        </w:trPr>
        <w:tc>
          <w:tcPr>
            <w:tcW w:w="4760" w:type="dxa"/>
            <w:tcBorders>
              <w:top w:val="nil"/>
              <w:left w:val="nil"/>
              <w:bottom w:val="nil"/>
              <w:right w:val="nil"/>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Advertising and promotion</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15,000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17,000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19,000</w:t>
            </w:r>
          </w:p>
        </w:tc>
      </w:tr>
      <w:tr w:rsidR="00B040EC" w:rsidRPr="008C31F8" w:rsidTr="00B040EC">
        <w:trPr>
          <w:trHeight w:val="300"/>
        </w:trPr>
        <w:tc>
          <w:tcPr>
            <w:tcW w:w="4760" w:type="dxa"/>
            <w:tcBorders>
              <w:top w:val="nil"/>
              <w:left w:val="nil"/>
              <w:bottom w:val="nil"/>
              <w:right w:val="nil"/>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Bank charges</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1,000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1,000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1,500</w:t>
            </w:r>
          </w:p>
        </w:tc>
      </w:tr>
      <w:tr w:rsidR="00B040EC" w:rsidRPr="008C31F8" w:rsidTr="00B040EC">
        <w:trPr>
          <w:trHeight w:val="300"/>
        </w:trPr>
        <w:tc>
          <w:tcPr>
            <w:tcW w:w="4760" w:type="dxa"/>
            <w:tcBorders>
              <w:top w:val="nil"/>
              <w:left w:val="nil"/>
              <w:bottom w:val="nil"/>
              <w:right w:val="nil"/>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lastRenderedPageBreak/>
              <w:t>Professional fees</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w:t>
            </w:r>
          </w:p>
        </w:tc>
      </w:tr>
      <w:tr w:rsidR="00B040EC" w:rsidRPr="008C31F8" w:rsidTr="00B040EC">
        <w:trPr>
          <w:trHeight w:val="300"/>
        </w:trPr>
        <w:tc>
          <w:tcPr>
            <w:tcW w:w="4760" w:type="dxa"/>
            <w:tcBorders>
              <w:top w:val="nil"/>
              <w:left w:val="nil"/>
              <w:bottom w:val="nil"/>
              <w:right w:val="nil"/>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Insurances</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750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800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900</w:t>
            </w:r>
          </w:p>
        </w:tc>
      </w:tr>
      <w:tr w:rsidR="00240A48" w:rsidRPr="008C31F8" w:rsidTr="00B040EC">
        <w:trPr>
          <w:trHeight w:val="300"/>
        </w:trPr>
        <w:tc>
          <w:tcPr>
            <w:tcW w:w="4760" w:type="dxa"/>
            <w:tcBorders>
              <w:top w:val="nil"/>
              <w:left w:val="nil"/>
              <w:bottom w:val="nil"/>
              <w:right w:val="nil"/>
            </w:tcBorders>
            <w:shd w:val="clear" w:color="auto" w:fill="auto"/>
            <w:vAlign w:val="center"/>
          </w:tcPr>
          <w:p w:rsidR="00240A48" w:rsidRPr="008C31F8" w:rsidRDefault="00240A48" w:rsidP="008C31F8">
            <w:pPr>
              <w:spacing w:after="0" w:line="480" w:lineRule="auto"/>
              <w:rPr>
                <w:rFonts w:ascii="Times New Roman" w:eastAsia="Times New Roman" w:hAnsi="Times New Roman" w:cs="Times New Roman"/>
                <w:color w:val="0D0D0D" w:themeColor="text1" w:themeTint="F2"/>
                <w:sz w:val="24"/>
                <w:szCs w:val="24"/>
              </w:rPr>
            </w:pPr>
          </w:p>
          <w:p w:rsidR="00240A48" w:rsidRPr="008C31F8" w:rsidRDefault="00240A48" w:rsidP="008C31F8">
            <w:pPr>
              <w:spacing w:after="0" w:line="480" w:lineRule="auto"/>
              <w:rPr>
                <w:rFonts w:ascii="Times New Roman" w:eastAsia="Times New Roman" w:hAnsi="Times New Roman" w:cs="Times New Roman"/>
                <w:color w:val="0D0D0D" w:themeColor="text1" w:themeTint="F2"/>
                <w:sz w:val="24"/>
                <w:szCs w:val="24"/>
              </w:rPr>
            </w:pPr>
          </w:p>
        </w:tc>
        <w:tc>
          <w:tcPr>
            <w:tcW w:w="940" w:type="dxa"/>
            <w:tcBorders>
              <w:top w:val="nil"/>
              <w:left w:val="nil"/>
              <w:bottom w:val="nil"/>
              <w:right w:val="nil"/>
            </w:tcBorders>
            <w:shd w:val="clear" w:color="auto" w:fill="auto"/>
            <w:noWrap/>
            <w:vAlign w:val="center"/>
          </w:tcPr>
          <w:p w:rsidR="00240A48" w:rsidRPr="008C31F8" w:rsidRDefault="00240A48" w:rsidP="008C31F8">
            <w:pPr>
              <w:spacing w:after="0" w:line="480" w:lineRule="auto"/>
              <w:jc w:val="right"/>
              <w:rPr>
                <w:rFonts w:ascii="Times New Roman" w:eastAsia="Times New Roman" w:hAnsi="Times New Roman" w:cs="Times New Roman"/>
                <w:color w:val="0D0D0D" w:themeColor="text1" w:themeTint="F2"/>
                <w:sz w:val="24"/>
                <w:szCs w:val="24"/>
              </w:rPr>
            </w:pPr>
          </w:p>
        </w:tc>
        <w:tc>
          <w:tcPr>
            <w:tcW w:w="940" w:type="dxa"/>
            <w:tcBorders>
              <w:top w:val="nil"/>
              <w:left w:val="nil"/>
              <w:bottom w:val="nil"/>
              <w:right w:val="nil"/>
            </w:tcBorders>
            <w:shd w:val="clear" w:color="auto" w:fill="auto"/>
            <w:noWrap/>
            <w:vAlign w:val="center"/>
          </w:tcPr>
          <w:p w:rsidR="00240A48" w:rsidRPr="008C31F8" w:rsidRDefault="00240A48" w:rsidP="008C31F8">
            <w:pPr>
              <w:spacing w:after="0" w:line="480" w:lineRule="auto"/>
              <w:jc w:val="right"/>
              <w:rPr>
                <w:rFonts w:ascii="Times New Roman" w:eastAsia="Times New Roman" w:hAnsi="Times New Roman" w:cs="Times New Roman"/>
                <w:color w:val="0D0D0D" w:themeColor="text1" w:themeTint="F2"/>
                <w:sz w:val="24"/>
                <w:szCs w:val="24"/>
              </w:rPr>
            </w:pPr>
          </w:p>
        </w:tc>
        <w:tc>
          <w:tcPr>
            <w:tcW w:w="940" w:type="dxa"/>
            <w:tcBorders>
              <w:top w:val="nil"/>
              <w:left w:val="nil"/>
              <w:bottom w:val="nil"/>
              <w:right w:val="nil"/>
            </w:tcBorders>
            <w:shd w:val="clear" w:color="auto" w:fill="auto"/>
            <w:noWrap/>
            <w:vAlign w:val="center"/>
          </w:tcPr>
          <w:p w:rsidR="00240A48" w:rsidRPr="008C31F8" w:rsidRDefault="00240A48" w:rsidP="008C31F8">
            <w:pPr>
              <w:spacing w:after="0" w:line="480" w:lineRule="auto"/>
              <w:jc w:val="right"/>
              <w:rPr>
                <w:rFonts w:ascii="Times New Roman" w:eastAsia="Times New Roman" w:hAnsi="Times New Roman" w:cs="Times New Roman"/>
                <w:color w:val="0D0D0D" w:themeColor="text1" w:themeTint="F2"/>
                <w:sz w:val="24"/>
                <w:szCs w:val="24"/>
              </w:rPr>
            </w:pPr>
          </w:p>
        </w:tc>
      </w:tr>
      <w:tr w:rsidR="00B040EC" w:rsidRPr="008C31F8" w:rsidTr="00B040EC">
        <w:trPr>
          <w:trHeight w:val="300"/>
        </w:trPr>
        <w:tc>
          <w:tcPr>
            <w:tcW w:w="4760" w:type="dxa"/>
            <w:tcBorders>
              <w:top w:val="nil"/>
              <w:left w:val="nil"/>
              <w:bottom w:val="nil"/>
              <w:right w:val="nil"/>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Total fixed costs</w:t>
            </w:r>
          </w:p>
        </w:tc>
        <w:tc>
          <w:tcPr>
            <w:tcW w:w="940" w:type="dxa"/>
            <w:tcBorders>
              <w:top w:val="nil"/>
              <w:left w:val="nil"/>
              <w:bottom w:val="nil"/>
              <w:right w:val="nil"/>
            </w:tcBorders>
            <w:shd w:val="clear" w:color="auto" w:fill="auto"/>
            <w:noWrap/>
            <w:vAlign w:val="center"/>
            <w:hideMark/>
          </w:tcPr>
          <w:p w:rsidR="00B040EC" w:rsidRPr="008C31F8" w:rsidRDefault="001B6F3F"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25,000</w:t>
            </w:r>
          </w:p>
        </w:tc>
        <w:tc>
          <w:tcPr>
            <w:tcW w:w="940" w:type="dxa"/>
            <w:tcBorders>
              <w:top w:val="nil"/>
              <w:left w:val="nil"/>
              <w:bottom w:val="nil"/>
              <w:right w:val="nil"/>
            </w:tcBorders>
            <w:shd w:val="clear" w:color="auto" w:fill="auto"/>
            <w:noWrap/>
            <w:vAlign w:val="center"/>
            <w:hideMark/>
          </w:tcPr>
          <w:p w:rsidR="00B040EC" w:rsidRPr="008C31F8" w:rsidRDefault="001B6F3F"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40,000</w:t>
            </w:r>
          </w:p>
        </w:tc>
        <w:tc>
          <w:tcPr>
            <w:tcW w:w="940" w:type="dxa"/>
            <w:tcBorders>
              <w:top w:val="nil"/>
              <w:left w:val="nil"/>
              <w:bottom w:val="nil"/>
              <w:right w:val="nil"/>
            </w:tcBorders>
            <w:shd w:val="clear" w:color="auto" w:fill="auto"/>
            <w:noWrap/>
            <w:vAlign w:val="center"/>
            <w:hideMark/>
          </w:tcPr>
          <w:p w:rsidR="00B040EC" w:rsidRPr="008C31F8" w:rsidRDefault="001B6F3F"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80,000</w:t>
            </w:r>
          </w:p>
        </w:tc>
      </w:tr>
      <w:tr w:rsidR="00B040EC" w:rsidRPr="008C31F8" w:rsidTr="00B040EC">
        <w:trPr>
          <w:trHeight w:val="300"/>
        </w:trPr>
        <w:tc>
          <w:tcPr>
            <w:tcW w:w="4760" w:type="dxa"/>
            <w:tcBorders>
              <w:top w:val="nil"/>
              <w:left w:val="nil"/>
              <w:bottom w:val="nil"/>
              <w:right w:val="nil"/>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Net profit (gross profit less fixed cost)</w:t>
            </w:r>
          </w:p>
        </w:tc>
        <w:tc>
          <w:tcPr>
            <w:tcW w:w="940" w:type="dxa"/>
            <w:tcBorders>
              <w:top w:val="nil"/>
              <w:left w:val="nil"/>
              <w:bottom w:val="nil"/>
              <w:right w:val="nil"/>
            </w:tcBorders>
            <w:shd w:val="clear" w:color="auto" w:fill="auto"/>
            <w:noWrap/>
            <w:vAlign w:val="center"/>
            <w:hideMark/>
          </w:tcPr>
          <w:p w:rsidR="00B040EC" w:rsidRPr="008C31F8" w:rsidRDefault="00AC6817"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225,000</w:t>
            </w:r>
          </w:p>
        </w:tc>
        <w:tc>
          <w:tcPr>
            <w:tcW w:w="940" w:type="dxa"/>
            <w:tcBorders>
              <w:top w:val="nil"/>
              <w:left w:val="nil"/>
              <w:bottom w:val="nil"/>
              <w:right w:val="nil"/>
            </w:tcBorders>
            <w:shd w:val="clear" w:color="auto" w:fill="auto"/>
            <w:noWrap/>
            <w:vAlign w:val="center"/>
            <w:hideMark/>
          </w:tcPr>
          <w:p w:rsidR="00B040EC" w:rsidRPr="008C31F8" w:rsidRDefault="00AC6817"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374,000</w:t>
            </w:r>
          </w:p>
        </w:tc>
        <w:tc>
          <w:tcPr>
            <w:tcW w:w="940" w:type="dxa"/>
            <w:tcBorders>
              <w:top w:val="nil"/>
              <w:left w:val="nil"/>
              <w:bottom w:val="nil"/>
              <w:right w:val="nil"/>
            </w:tcBorders>
            <w:shd w:val="clear" w:color="auto" w:fill="auto"/>
            <w:noWrap/>
            <w:vAlign w:val="center"/>
            <w:hideMark/>
          </w:tcPr>
          <w:p w:rsidR="00B040EC" w:rsidRPr="008C31F8" w:rsidRDefault="00AC6817"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544,00</w:t>
            </w:r>
          </w:p>
        </w:tc>
      </w:tr>
      <w:tr w:rsidR="00B040EC" w:rsidRPr="008C31F8" w:rsidTr="00B040EC">
        <w:trPr>
          <w:trHeight w:val="300"/>
        </w:trPr>
        <w:tc>
          <w:tcPr>
            <w:tcW w:w="4760" w:type="dxa"/>
            <w:tcBorders>
              <w:top w:val="nil"/>
              <w:left w:val="nil"/>
              <w:bottom w:val="nil"/>
              <w:right w:val="nil"/>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Calculate your net profit margin (net profit divided by total sales x 100)</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0" w:type="dxa"/>
            <w:tcBorders>
              <w:top w:val="nil"/>
              <w:left w:val="nil"/>
              <w:bottom w:val="nil"/>
              <w:right w:val="nil"/>
            </w:tcBorders>
            <w:shd w:val="clear" w:color="auto" w:fill="auto"/>
            <w:noWrap/>
            <w:vAlign w:val="center"/>
            <w:hideMark/>
          </w:tcPr>
          <w:p w:rsidR="00B040EC" w:rsidRPr="008C31F8" w:rsidRDefault="0027769D"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w:t>
            </w:r>
          </w:p>
        </w:tc>
        <w:tc>
          <w:tcPr>
            <w:tcW w:w="940" w:type="dxa"/>
            <w:tcBorders>
              <w:top w:val="nil"/>
              <w:left w:val="nil"/>
              <w:bottom w:val="nil"/>
              <w:right w:val="nil"/>
            </w:tcBorders>
            <w:shd w:val="clear" w:color="auto" w:fill="auto"/>
            <w:noWrap/>
            <w:vAlign w:val="center"/>
            <w:hideMark/>
          </w:tcPr>
          <w:p w:rsidR="00B040EC" w:rsidRPr="008C31F8" w:rsidRDefault="00AC6817"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w:t>
            </w:r>
          </w:p>
        </w:tc>
      </w:tr>
      <w:tr w:rsidR="00B040EC" w:rsidRPr="008C31F8" w:rsidTr="00B040EC">
        <w:trPr>
          <w:trHeight w:val="300"/>
        </w:trPr>
        <w:tc>
          <w:tcPr>
            <w:tcW w:w="4760" w:type="dxa"/>
            <w:tcBorders>
              <w:top w:val="nil"/>
              <w:left w:val="nil"/>
              <w:bottom w:val="nil"/>
              <w:right w:val="nil"/>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p>
        </w:tc>
      </w:tr>
      <w:tr w:rsidR="00B040EC" w:rsidRPr="008C31F8" w:rsidTr="00B040EC">
        <w:trPr>
          <w:trHeight w:val="300"/>
        </w:trPr>
        <w:tc>
          <w:tcPr>
            <w:tcW w:w="4760" w:type="dxa"/>
            <w:tcBorders>
              <w:top w:val="nil"/>
              <w:left w:val="nil"/>
              <w:bottom w:val="nil"/>
              <w:right w:val="nil"/>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Calculate your breakeven</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Year 1 (£)</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Year 2 (£)</w:t>
            </w:r>
          </w:p>
        </w:tc>
        <w:tc>
          <w:tcPr>
            <w:tcW w:w="940" w:type="dxa"/>
            <w:tcBorders>
              <w:top w:val="nil"/>
              <w:left w:val="nil"/>
              <w:bottom w:val="nil"/>
              <w:right w:val="nil"/>
            </w:tcBorders>
            <w:shd w:val="clear" w:color="auto" w:fill="auto"/>
            <w:noWrap/>
            <w:vAlign w:val="center"/>
            <w:hideMark/>
          </w:tcPr>
          <w:p w:rsidR="00B040EC" w:rsidRPr="008C31F8" w:rsidRDefault="00B040EC"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Year 3 (£)</w:t>
            </w:r>
          </w:p>
        </w:tc>
      </w:tr>
      <w:tr w:rsidR="00B040EC" w:rsidRPr="008C31F8" w:rsidTr="00B040EC">
        <w:trPr>
          <w:trHeight w:val="300"/>
        </w:trPr>
        <w:tc>
          <w:tcPr>
            <w:tcW w:w="4760" w:type="dxa"/>
            <w:tcBorders>
              <w:top w:val="nil"/>
              <w:left w:val="nil"/>
              <w:bottom w:val="nil"/>
              <w:right w:val="nil"/>
            </w:tcBorders>
            <w:shd w:val="clear" w:color="auto" w:fill="auto"/>
            <w:vAlign w:val="center"/>
            <w:hideMark/>
          </w:tcPr>
          <w:p w:rsidR="00B040EC" w:rsidRPr="008C31F8" w:rsidRDefault="00B040EC"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Total variable costs + total fixed costs (B)</w:t>
            </w:r>
          </w:p>
        </w:tc>
        <w:tc>
          <w:tcPr>
            <w:tcW w:w="940" w:type="dxa"/>
            <w:tcBorders>
              <w:top w:val="nil"/>
              <w:left w:val="nil"/>
              <w:bottom w:val="nil"/>
              <w:right w:val="nil"/>
            </w:tcBorders>
            <w:shd w:val="clear" w:color="auto" w:fill="auto"/>
            <w:noWrap/>
            <w:vAlign w:val="center"/>
            <w:hideMark/>
          </w:tcPr>
          <w:p w:rsidR="00B040EC" w:rsidRPr="008C31F8" w:rsidRDefault="0027769D"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105,000</w:t>
            </w:r>
          </w:p>
        </w:tc>
        <w:tc>
          <w:tcPr>
            <w:tcW w:w="940" w:type="dxa"/>
            <w:tcBorders>
              <w:top w:val="nil"/>
              <w:left w:val="nil"/>
              <w:bottom w:val="nil"/>
              <w:right w:val="nil"/>
            </w:tcBorders>
            <w:shd w:val="clear" w:color="auto" w:fill="auto"/>
            <w:noWrap/>
            <w:vAlign w:val="center"/>
            <w:hideMark/>
          </w:tcPr>
          <w:p w:rsidR="00B040EC" w:rsidRPr="008C31F8" w:rsidRDefault="0027769D"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76,000</w:t>
            </w:r>
          </w:p>
        </w:tc>
        <w:tc>
          <w:tcPr>
            <w:tcW w:w="940" w:type="dxa"/>
            <w:tcBorders>
              <w:top w:val="nil"/>
              <w:left w:val="nil"/>
              <w:bottom w:val="nil"/>
              <w:right w:val="nil"/>
            </w:tcBorders>
            <w:shd w:val="clear" w:color="auto" w:fill="auto"/>
            <w:noWrap/>
            <w:vAlign w:val="center"/>
            <w:hideMark/>
          </w:tcPr>
          <w:p w:rsidR="00B040EC" w:rsidRPr="008C31F8" w:rsidRDefault="0027769D"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156,000</w:t>
            </w:r>
          </w:p>
        </w:tc>
      </w:tr>
    </w:tbl>
    <w:p w:rsidR="00BD5FDC" w:rsidRPr="008C31F8" w:rsidRDefault="00BD5FDC" w:rsidP="008C31F8">
      <w:pPr>
        <w:spacing w:after="0" w:line="480" w:lineRule="auto"/>
        <w:contextualSpacing/>
        <w:jc w:val="center"/>
        <w:rPr>
          <w:rFonts w:ascii="Times New Roman" w:hAnsi="Times New Roman" w:cs="Times New Roman"/>
          <w:color w:val="0D0D0D" w:themeColor="text1" w:themeTint="F2"/>
          <w:sz w:val="24"/>
          <w:szCs w:val="24"/>
        </w:rPr>
      </w:pPr>
    </w:p>
    <w:p w:rsidR="00840855" w:rsidRPr="008C31F8" w:rsidRDefault="00840855" w:rsidP="008C31F8">
      <w:pPr>
        <w:spacing w:after="0" w:line="480" w:lineRule="auto"/>
        <w:contextualSpacing/>
        <w:jc w:val="center"/>
        <w:rPr>
          <w:rFonts w:ascii="Times New Roman" w:hAnsi="Times New Roman" w:cs="Times New Roman"/>
          <w:b/>
          <w:bCs/>
          <w:color w:val="0D0D0D" w:themeColor="text1" w:themeTint="F2"/>
          <w:sz w:val="24"/>
          <w:szCs w:val="24"/>
        </w:rPr>
        <w:sectPr w:rsidR="00840855" w:rsidRPr="008C31F8">
          <w:headerReference w:type="default" r:id="rId8"/>
          <w:pgSz w:w="11906" w:h="16838"/>
          <w:pgMar w:top="1440" w:right="1440" w:bottom="1440" w:left="1440" w:header="708" w:footer="708" w:gutter="0"/>
          <w:cols w:space="708"/>
          <w:docGrid w:linePitch="360"/>
        </w:sectPr>
      </w:pPr>
    </w:p>
    <w:p w:rsidR="00B447EE" w:rsidRPr="008C31F8" w:rsidRDefault="00B447EE" w:rsidP="008C31F8">
      <w:pPr>
        <w:spacing w:after="0" w:line="480" w:lineRule="auto"/>
        <w:contextualSpacing/>
        <w:jc w:val="center"/>
        <w:rPr>
          <w:rFonts w:ascii="Times New Roman" w:hAnsi="Times New Roman" w:cs="Times New Roman"/>
          <w:b/>
          <w:bCs/>
          <w:color w:val="0D0D0D" w:themeColor="text1" w:themeTint="F2"/>
          <w:sz w:val="24"/>
          <w:szCs w:val="24"/>
        </w:rPr>
      </w:pPr>
    </w:p>
    <w:p w:rsidR="006E3705" w:rsidRPr="008C31F8" w:rsidRDefault="00B447EE" w:rsidP="008C31F8">
      <w:pPr>
        <w:spacing w:after="0" w:line="480" w:lineRule="auto"/>
        <w:contextualSpacing/>
        <w:jc w:val="center"/>
        <w:rPr>
          <w:rFonts w:ascii="Times New Roman" w:hAnsi="Times New Roman" w:cs="Times New Roman"/>
          <w:b/>
          <w:bCs/>
          <w:color w:val="0D0D0D" w:themeColor="text1" w:themeTint="F2"/>
          <w:sz w:val="24"/>
          <w:szCs w:val="24"/>
        </w:rPr>
      </w:pPr>
      <w:r w:rsidRPr="008C31F8">
        <w:rPr>
          <w:rFonts w:ascii="Times New Roman" w:hAnsi="Times New Roman" w:cs="Times New Roman"/>
          <w:b/>
          <w:bCs/>
          <w:color w:val="0D0D0D" w:themeColor="text1" w:themeTint="F2"/>
          <w:sz w:val="24"/>
          <w:szCs w:val="24"/>
        </w:rPr>
        <w:t>Cash Flow Forecast</w:t>
      </w:r>
    </w:p>
    <w:p w:rsidR="00840855" w:rsidRPr="008C31F8" w:rsidRDefault="00840855" w:rsidP="008C31F8">
      <w:pPr>
        <w:spacing w:after="0" w:line="480" w:lineRule="auto"/>
        <w:contextualSpacing/>
        <w:jc w:val="center"/>
        <w:rPr>
          <w:rFonts w:ascii="Times New Roman" w:hAnsi="Times New Roman" w:cs="Times New Roman"/>
          <w:b/>
          <w:bCs/>
          <w:color w:val="0D0D0D" w:themeColor="text1" w:themeTint="F2"/>
          <w:sz w:val="24"/>
          <w:szCs w:val="24"/>
        </w:rPr>
      </w:pPr>
    </w:p>
    <w:tbl>
      <w:tblPr>
        <w:tblW w:w="14093" w:type="dxa"/>
        <w:tblLook w:val="04A0"/>
      </w:tblPr>
      <w:tblGrid>
        <w:gridCol w:w="3689"/>
        <w:gridCol w:w="1071"/>
        <w:gridCol w:w="974"/>
        <w:gridCol w:w="1071"/>
        <w:gridCol w:w="974"/>
        <w:gridCol w:w="1071"/>
        <w:gridCol w:w="974"/>
        <w:gridCol w:w="1071"/>
        <w:gridCol w:w="974"/>
        <w:gridCol w:w="1149"/>
        <w:gridCol w:w="1156"/>
      </w:tblGrid>
      <w:tr w:rsidR="000C5066" w:rsidRPr="008C31F8" w:rsidTr="000C5066">
        <w:trPr>
          <w:trHeight w:val="300"/>
        </w:trPr>
        <w:tc>
          <w:tcPr>
            <w:tcW w:w="3791" w:type="dxa"/>
            <w:tcBorders>
              <w:top w:val="nil"/>
              <w:left w:val="nil"/>
              <w:bottom w:val="nil"/>
              <w:right w:val="nil"/>
            </w:tcBorders>
            <w:shd w:val="clear" w:color="auto" w:fill="auto"/>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p>
        </w:tc>
        <w:tc>
          <w:tcPr>
            <w:tcW w:w="2002" w:type="dxa"/>
            <w:gridSpan w:val="2"/>
            <w:tcBorders>
              <w:top w:val="single" w:sz="4" w:space="0" w:color="969696"/>
              <w:left w:val="single" w:sz="4" w:space="0" w:color="969696"/>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Q1</w:t>
            </w:r>
          </w:p>
        </w:tc>
        <w:tc>
          <w:tcPr>
            <w:tcW w:w="2002" w:type="dxa"/>
            <w:gridSpan w:val="2"/>
            <w:tcBorders>
              <w:top w:val="single" w:sz="4" w:space="0" w:color="969696"/>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Q2</w:t>
            </w:r>
          </w:p>
        </w:tc>
        <w:tc>
          <w:tcPr>
            <w:tcW w:w="2002" w:type="dxa"/>
            <w:gridSpan w:val="2"/>
            <w:tcBorders>
              <w:top w:val="single" w:sz="4" w:space="0" w:color="969696"/>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Q3</w:t>
            </w:r>
          </w:p>
        </w:tc>
        <w:tc>
          <w:tcPr>
            <w:tcW w:w="2002" w:type="dxa"/>
            <w:gridSpan w:val="2"/>
            <w:tcBorders>
              <w:top w:val="single" w:sz="4" w:space="0" w:color="969696"/>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Q4</w:t>
            </w:r>
          </w:p>
        </w:tc>
        <w:tc>
          <w:tcPr>
            <w:tcW w:w="2294" w:type="dxa"/>
            <w:gridSpan w:val="2"/>
            <w:tcBorders>
              <w:top w:val="single" w:sz="4" w:space="0" w:color="969696"/>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Y1 Total</w:t>
            </w:r>
          </w:p>
        </w:tc>
      </w:tr>
      <w:tr w:rsidR="000C5066" w:rsidRPr="008C31F8" w:rsidTr="000C5066">
        <w:trPr>
          <w:trHeight w:val="315"/>
        </w:trPr>
        <w:tc>
          <w:tcPr>
            <w:tcW w:w="3791" w:type="dxa"/>
            <w:tcBorders>
              <w:top w:val="single" w:sz="4" w:space="0" w:color="969696"/>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INCOME</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Forecast</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Actual</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Forecast</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Actual</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Forecast</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Actual</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Forecast</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Actual</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Forecast</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center"/>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Actual</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Cash from sales (incl. VAT)</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110,000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90,000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330,000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350,000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460,000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490,000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550,000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560,000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1,450,000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1,490,000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Cash received from debtors</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19,000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26,000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27,000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19,000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28,000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23,000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93,000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89,000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Capital/loans received</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Other Payments</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TOTAL £</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130,000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109,000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356,000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377,000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479,000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510,000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578,000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583,000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1,543,000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1,579,000</w:t>
            </w:r>
          </w:p>
        </w:tc>
      </w:tr>
      <w:tr w:rsidR="000C5066" w:rsidRPr="008C31F8" w:rsidTr="000C5066">
        <w:trPr>
          <w:trHeight w:val="315"/>
        </w:trPr>
        <w:tc>
          <w:tcPr>
            <w:tcW w:w="3791" w:type="dxa"/>
            <w:tcBorders>
              <w:top w:val="nil"/>
              <w:left w:val="single" w:sz="4" w:space="0" w:color="auto"/>
              <w:bottom w:val="nil"/>
              <w:right w:val="nil"/>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EXPENDITURE</w:t>
            </w:r>
          </w:p>
        </w:tc>
        <w:tc>
          <w:tcPr>
            <w:tcW w:w="1060" w:type="dxa"/>
            <w:tcBorders>
              <w:top w:val="nil"/>
              <w:left w:val="nil"/>
              <w:bottom w:val="nil"/>
              <w:right w:val="nil"/>
            </w:tcBorders>
            <w:shd w:val="clear" w:color="auto" w:fill="auto"/>
            <w:noWrap/>
            <w:vAlign w:val="bottom"/>
            <w:hideMark/>
          </w:tcPr>
          <w:p w:rsidR="000C5066" w:rsidRPr="008C31F8" w:rsidRDefault="000C5066" w:rsidP="008C31F8">
            <w:pPr>
              <w:spacing w:after="0" w:line="480" w:lineRule="auto"/>
              <w:rPr>
                <w:rFonts w:ascii="Times New Roman" w:eastAsia="Times New Roman" w:hAnsi="Times New Roman" w:cs="Times New Roman"/>
                <w:b/>
                <w:bCs/>
                <w:color w:val="0D0D0D" w:themeColor="text1" w:themeTint="F2"/>
                <w:sz w:val="24"/>
                <w:szCs w:val="24"/>
              </w:rPr>
            </w:pPr>
          </w:p>
        </w:tc>
        <w:tc>
          <w:tcPr>
            <w:tcW w:w="942" w:type="dxa"/>
            <w:tcBorders>
              <w:top w:val="nil"/>
              <w:left w:val="nil"/>
              <w:bottom w:val="nil"/>
              <w:right w:val="nil"/>
            </w:tcBorders>
            <w:shd w:val="clear" w:color="auto" w:fill="auto"/>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p>
        </w:tc>
        <w:tc>
          <w:tcPr>
            <w:tcW w:w="1060" w:type="dxa"/>
            <w:tcBorders>
              <w:top w:val="nil"/>
              <w:left w:val="nil"/>
              <w:bottom w:val="nil"/>
              <w:right w:val="nil"/>
            </w:tcBorders>
            <w:shd w:val="clear" w:color="auto" w:fill="auto"/>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p>
        </w:tc>
        <w:tc>
          <w:tcPr>
            <w:tcW w:w="942" w:type="dxa"/>
            <w:tcBorders>
              <w:top w:val="nil"/>
              <w:left w:val="nil"/>
              <w:bottom w:val="nil"/>
              <w:right w:val="nil"/>
            </w:tcBorders>
            <w:shd w:val="clear" w:color="auto" w:fill="auto"/>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p>
        </w:tc>
        <w:tc>
          <w:tcPr>
            <w:tcW w:w="1060" w:type="dxa"/>
            <w:tcBorders>
              <w:top w:val="nil"/>
              <w:left w:val="nil"/>
              <w:bottom w:val="nil"/>
              <w:right w:val="nil"/>
            </w:tcBorders>
            <w:shd w:val="clear" w:color="auto" w:fill="auto"/>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p>
        </w:tc>
        <w:tc>
          <w:tcPr>
            <w:tcW w:w="942" w:type="dxa"/>
            <w:tcBorders>
              <w:top w:val="nil"/>
              <w:left w:val="nil"/>
              <w:bottom w:val="nil"/>
              <w:right w:val="nil"/>
            </w:tcBorders>
            <w:shd w:val="clear" w:color="auto" w:fill="auto"/>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p>
        </w:tc>
        <w:tc>
          <w:tcPr>
            <w:tcW w:w="1060" w:type="dxa"/>
            <w:tcBorders>
              <w:top w:val="nil"/>
              <w:left w:val="nil"/>
              <w:bottom w:val="nil"/>
              <w:right w:val="nil"/>
            </w:tcBorders>
            <w:shd w:val="clear" w:color="auto" w:fill="auto"/>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p>
        </w:tc>
        <w:tc>
          <w:tcPr>
            <w:tcW w:w="942" w:type="dxa"/>
            <w:tcBorders>
              <w:top w:val="nil"/>
              <w:left w:val="nil"/>
              <w:bottom w:val="nil"/>
              <w:right w:val="nil"/>
            </w:tcBorders>
            <w:shd w:val="clear" w:color="auto" w:fill="auto"/>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p>
        </w:tc>
        <w:tc>
          <w:tcPr>
            <w:tcW w:w="1110" w:type="dxa"/>
            <w:tcBorders>
              <w:top w:val="nil"/>
              <w:left w:val="nil"/>
              <w:bottom w:val="nil"/>
              <w:right w:val="nil"/>
            </w:tcBorders>
            <w:shd w:val="clear" w:color="auto" w:fill="auto"/>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p>
        </w:tc>
        <w:tc>
          <w:tcPr>
            <w:tcW w:w="1184" w:type="dxa"/>
            <w:tcBorders>
              <w:top w:val="nil"/>
              <w:left w:val="nil"/>
              <w:bottom w:val="nil"/>
              <w:right w:val="nil"/>
            </w:tcBorders>
            <w:shd w:val="clear" w:color="auto" w:fill="auto"/>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p>
        </w:tc>
      </w:tr>
      <w:tr w:rsidR="000C5066" w:rsidRPr="008C31F8" w:rsidTr="000C5066">
        <w:trPr>
          <w:trHeight w:val="315"/>
        </w:trPr>
        <w:tc>
          <w:tcPr>
            <w:tcW w:w="3791" w:type="dxa"/>
            <w:tcBorders>
              <w:top w:val="single" w:sz="4" w:space="0" w:color="969696"/>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Wages to staff (incl. PAYE &amp; NI)</w:t>
            </w:r>
          </w:p>
        </w:tc>
        <w:tc>
          <w:tcPr>
            <w:tcW w:w="1060" w:type="dxa"/>
            <w:tcBorders>
              <w:top w:val="single" w:sz="4" w:space="0" w:color="969696"/>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65,000</w:t>
            </w:r>
          </w:p>
        </w:tc>
        <w:tc>
          <w:tcPr>
            <w:tcW w:w="942" w:type="dxa"/>
            <w:tcBorders>
              <w:top w:val="single" w:sz="4" w:space="0" w:color="969696"/>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80,000</w:t>
            </w:r>
          </w:p>
        </w:tc>
        <w:tc>
          <w:tcPr>
            <w:tcW w:w="1060" w:type="dxa"/>
            <w:tcBorders>
              <w:top w:val="single" w:sz="4" w:space="0" w:color="969696"/>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85,000</w:t>
            </w:r>
          </w:p>
        </w:tc>
        <w:tc>
          <w:tcPr>
            <w:tcW w:w="942" w:type="dxa"/>
            <w:tcBorders>
              <w:top w:val="single" w:sz="4" w:space="0" w:color="969696"/>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88,000</w:t>
            </w:r>
          </w:p>
        </w:tc>
        <w:tc>
          <w:tcPr>
            <w:tcW w:w="1060" w:type="dxa"/>
            <w:tcBorders>
              <w:top w:val="single" w:sz="4" w:space="0" w:color="969696"/>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90,000</w:t>
            </w:r>
          </w:p>
        </w:tc>
        <w:tc>
          <w:tcPr>
            <w:tcW w:w="942" w:type="dxa"/>
            <w:tcBorders>
              <w:top w:val="single" w:sz="4" w:space="0" w:color="969696"/>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100,000</w:t>
            </w:r>
          </w:p>
        </w:tc>
        <w:tc>
          <w:tcPr>
            <w:tcW w:w="1060" w:type="dxa"/>
            <w:tcBorders>
              <w:top w:val="single" w:sz="4" w:space="0" w:color="969696"/>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90,000</w:t>
            </w:r>
          </w:p>
        </w:tc>
        <w:tc>
          <w:tcPr>
            <w:tcW w:w="942" w:type="dxa"/>
            <w:tcBorders>
              <w:top w:val="single" w:sz="4" w:space="0" w:color="969696"/>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100,000</w:t>
            </w:r>
          </w:p>
        </w:tc>
        <w:tc>
          <w:tcPr>
            <w:tcW w:w="1110" w:type="dxa"/>
            <w:tcBorders>
              <w:top w:val="single" w:sz="4" w:space="0" w:color="969696"/>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330,000</w:t>
            </w:r>
          </w:p>
        </w:tc>
        <w:tc>
          <w:tcPr>
            <w:tcW w:w="1184" w:type="dxa"/>
            <w:tcBorders>
              <w:top w:val="single" w:sz="4" w:space="0" w:color="969696"/>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368,000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lastRenderedPageBreak/>
              <w:t>Premises (rent, rates &amp; utilities)</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45,000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48,000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48,000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49,000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52,000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55,000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59,000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60,000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204,000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212,000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Telephone &amp; Broadband</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1,500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1,500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1,800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1,800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6,300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6,300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Printing, post &amp; stationery</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2,500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2,500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3,500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3,500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3,500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12,000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12,500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Advertising &amp; promotion</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22,000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25,000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25,000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25,000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28,000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28,000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30,000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98,000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105,000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Bank charges</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2,500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2,500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3,500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3,500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11,000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11,000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Professional fees</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5,000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5,000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6,000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6,000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6,500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6,500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21,500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21,500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Insurances</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1,200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1,500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1,500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2,500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2,500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7,000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7,200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Bank/HP</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1,500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1,500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2,500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4,000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10,500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11,000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Equipment &amp; vehicle leasing</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Payments relating to variable costs</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34,000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35,000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37,000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38,000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41,000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45,000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62,000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63,000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174,000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181,000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Capital Expenditure</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51,000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52,000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53,000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56,000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57,000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61,000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67,000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68,000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228,000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237,000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Other Payments</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VAT</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750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800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800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850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900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900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950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3,400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2,550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Owner's wages/salary</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90,000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100,000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110,000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120,000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130,000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130,000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130,000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130,000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460,000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480,000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Owner's National Insurance</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1,500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2,200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2,500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7,200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7,000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lastRenderedPageBreak/>
              <w:t>Loan repayments (incl. interest)</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Stock</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12,000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15,000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17,000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17,000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17,500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18,000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27,000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66,500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77,000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Consumables</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2,600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3,000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4,500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5,000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5,000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14,000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color w:val="0D0D0D" w:themeColor="text1" w:themeTint="F2"/>
                <w:sz w:val="24"/>
                <w:szCs w:val="24"/>
              </w:rPr>
            </w:pPr>
            <w:r w:rsidRPr="008C31F8">
              <w:rPr>
                <w:rFonts w:ascii="Times New Roman" w:eastAsia="Times New Roman" w:hAnsi="Times New Roman" w:cs="Times New Roman"/>
                <w:color w:val="0D0D0D" w:themeColor="text1" w:themeTint="F2"/>
                <w:sz w:val="24"/>
                <w:szCs w:val="24"/>
              </w:rPr>
              <w:t>15,100</w:t>
            </w:r>
          </w:p>
        </w:tc>
      </w:tr>
      <w:tr w:rsidR="000C5066" w:rsidRPr="008C31F8" w:rsidTr="000C5066">
        <w:trPr>
          <w:trHeight w:val="315"/>
        </w:trPr>
        <w:tc>
          <w:tcPr>
            <w:tcW w:w="3791" w:type="dxa"/>
            <w:tcBorders>
              <w:top w:val="nil"/>
              <w:left w:val="single" w:sz="4" w:space="0" w:color="969696"/>
              <w:bottom w:val="single" w:sz="4" w:space="0" w:color="969696"/>
              <w:right w:val="single" w:sz="4" w:space="0" w:color="969696"/>
            </w:tcBorders>
            <w:shd w:val="clear" w:color="000000" w:fill="FF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TOTAL £</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332,750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368,600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396,300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414,350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438,200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463,700</w:t>
            </w:r>
          </w:p>
        </w:tc>
        <w:tc>
          <w:tcPr>
            <w:tcW w:w="106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486,150</w:t>
            </w:r>
          </w:p>
        </w:tc>
        <w:tc>
          <w:tcPr>
            <w:tcW w:w="942"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507,500</w:t>
            </w:r>
          </w:p>
        </w:tc>
        <w:tc>
          <w:tcPr>
            <w:tcW w:w="1110" w:type="dxa"/>
            <w:tcBorders>
              <w:top w:val="nil"/>
              <w:left w:val="nil"/>
              <w:bottom w:val="single" w:sz="4" w:space="0" w:color="969696"/>
              <w:right w:val="single" w:sz="4" w:space="0" w:color="969696"/>
            </w:tcBorders>
            <w:shd w:val="clear" w:color="000000" w:fill="CCFFFF"/>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1,653,400</w:t>
            </w:r>
          </w:p>
        </w:tc>
        <w:tc>
          <w:tcPr>
            <w:tcW w:w="1184" w:type="dxa"/>
            <w:tcBorders>
              <w:top w:val="nil"/>
              <w:left w:val="nil"/>
              <w:bottom w:val="single" w:sz="4" w:space="0" w:color="969696"/>
              <w:right w:val="single" w:sz="4" w:space="0" w:color="969696"/>
            </w:tcBorders>
            <w:shd w:val="clear" w:color="auto" w:fill="auto"/>
            <w:noWrap/>
            <w:vAlign w:val="bottom"/>
            <w:hideMark/>
          </w:tcPr>
          <w:p w:rsidR="000C5066" w:rsidRPr="008C31F8" w:rsidRDefault="000C5066" w:rsidP="008C31F8">
            <w:pPr>
              <w:spacing w:after="0" w:line="480" w:lineRule="auto"/>
              <w:jc w:val="right"/>
              <w:rPr>
                <w:rFonts w:ascii="Times New Roman" w:eastAsia="Times New Roman" w:hAnsi="Times New Roman" w:cs="Times New Roman"/>
                <w:b/>
                <w:bCs/>
                <w:color w:val="0D0D0D" w:themeColor="text1" w:themeTint="F2"/>
                <w:sz w:val="24"/>
                <w:szCs w:val="24"/>
              </w:rPr>
            </w:pPr>
            <w:r w:rsidRPr="008C31F8">
              <w:rPr>
                <w:rFonts w:ascii="Times New Roman" w:eastAsia="Times New Roman" w:hAnsi="Times New Roman" w:cs="Times New Roman"/>
                <w:b/>
                <w:bCs/>
                <w:color w:val="0D0D0D" w:themeColor="text1" w:themeTint="F2"/>
                <w:sz w:val="24"/>
                <w:szCs w:val="24"/>
              </w:rPr>
              <w:t>1,754,150</w:t>
            </w:r>
          </w:p>
        </w:tc>
      </w:tr>
    </w:tbl>
    <w:p w:rsidR="00B447EE" w:rsidRPr="008C31F8" w:rsidRDefault="00B447EE" w:rsidP="008C31F8">
      <w:pPr>
        <w:spacing w:after="0" w:line="480" w:lineRule="auto"/>
        <w:contextualSpacing/>
        <w:jc w:val="center"/>
        <w:rPr>
          <w:rFonts w:ascii="Times New Roman" w:hAnsi="Times New Roman" w:cs="Times New Roman"/>
          <w:b/>
          <w:bCs/>
          <w:color w:val="0D0D0D" w:themeColor="text1" w:themeTint="F2"/>
          <w:sz w:val="24"/>
          <w:szCs w:val="24"/>
        </w:rPr>
      </w:pPr>
    </w:p>
    <w:p w:rsidR="00505653" w:rsidRPr="008C31F8" w:rsidRDefault="00505653" w:rsidP="008C31F8">
      <w:pPr>
        <w:spacing w:after="0" w:line="480" w:lineRule="auto"/>
        <w:contextualSpacing/>
        <w:rPr>
          <w:rFonts w:ascii="Times New Roman" w:hAnsi="Times New Roman" w:cs="Times New Roman"/>
          <w:b/>
          <w:bCs/>
          <w:color w:val="0D0D0D" w:themeColor="text1" w:themeTint="F2"/>
          <w:sz w:val="24"/>
          <w:szCs w:val="24"/>
        </w:rPr>
      </w:pPr>
    </w:p>
    <w:p w:rsidR="00C82C82" w:rsidRPr="008C31F8" w:rsidRDefault="00C82C82" w:rsidP="008C31F8">
      <w:pPr>
        <w:spacing w:after="0" w:line="480" w:lineRule="auto"/>
        <w:contextualSpacing/>
        <w:rPr>
          <w:rFonts w:ascii="Times New Roman" w:hAnsi="Times New Roman" w:cs="Times New Roman"/>
          <w:b/>
          <w:bCs/>
          <w:color w:val="0D0D0D" w:themeColor="text1" w:themeTint="F2"/>
          <w:sz w:val="24"/>
          <w:szCs w:val="24"/>
        </w:rPr>
      </w:pPr>
    </w:p>
    <w:p w:rsidR="00C82C82" w:rsidRPr="008C31F8" w:rsidRDefault="00C82C82" w:rsidP="008C31F8">
      <w:pPr>
        <w:spacing w:after="0" w:line="480" w:lineRule="auto"/>
        <w:contextualSpacing/>
        <w:rPr>
          <w:rFonts w:ascii="Times New Roman" w:hAnsi="Times New Roman" w:cs="Times New Roman"/>
          <w:b/>
          <w:bCs/>
          <w:color w:val="0D0D0D" w:themeColor="text1" w:themeTint="F2"/>
          <w:sz w:val="24"/>
          <w:szCs w:val="24"/>
        </w:rPr>
      </w:pPr>
    </w:p>
    <w:p w:rsidR="00C82C82" w:rsidRPr="008C31F8" w:rsidRDefault="00C82C82" w:rsidP="008C31F8">
      <w:pPr>
        <w:spacing w:after="0" w:line="480" w:lineRule="auto"/>
        <w:contextualSpacing/>
        <w:rPr>
          <w:rFonts w:ascii="Times New Roman" w:hAnsi="Times New Roman" w:cs="Times New Roman"/>
          <w:b/>
          <w:bCs/>
          <w:color w:val="0D0D0D" w:themeColor="text1" w:themeTint="F2"/>
          <w:sz w:val="24"/>
          <w:szCs w:val="24"/>
        </w:rPr>
        <w:sectPr w:rsidR="00C82C82" w:rsidRPr="008C31F8" w:rsidSect="00840855">
          <w:pgSz w:w="16838" w:h="11906" w:orient="landscape"/>
          <w:pgMar w:top="1440" w:right="1440" w:bottom="1440" w:left="1440" w:header="708" w:footer="708" w:gutter="0"/>
          <w:cols w:space="708"/>
          <w:docGrid w:linePitch="360"/>
        </w:sectPr>
      </w:pPr>
    </w:p>
    <w:p w:rsidR="008C31F8" w:rsidRPr="008C31F8" w:rsidRDefault="008C31F8" w:rsidP="008C31F8">
      <w:pPr>
        <w:jc w:val="center"/>
        <w:rPr>
          <w:rFonts w:ascii="Times New Roman" w:hAnsi="Times New Roman" w:cs="Times New Roman"/>
          <w:sz w:val="24"/>
          <w:szCs w:val="24"/>
          <w:lang w:val="en-GB"/>
        </w:rPr>
      </w:pPr>
      <w:r w:rsidRPr="008C31F8">
        <w:rPr>
          <w:rFonts w:ascii="Times New Roman" w:hAnsi="Times New Roman" w:cs="Times New Roman"/>
          <w:sz w:val="24"/>
          <w:szCs w:val="24"/>
          <w:lang w:val="en-GB"/>
        </w:rPr>
        <w:lastRenderedPageBreak/>
        <w:t xml:space="preserve">References </w:t>
      </w:r>
    </w:p>
    <w:p w:rsidR="008C31F8" w:rsidRPr="008C31F8" w:rsidRDefault="008C31F8" w:rsidP="008C31F8">
      <w:pPr>
        <w:spacing w:line="480" w:lineRule="auto"/>
        <w:ind w:left="720" w:right="26" w:hanging="720"/>
        <w:rPr>
          <w:rFonts w:ascii="Times New Roman" w:hAnsi="Times New Roman" w:cs="Times New Roman"/>
          <w:sz w:val="24"/>
          <w:szCs w:val="24"/>
        </w:rPr>
      </w:pPr>
      <w:r w:rsidRPr="008C31F8">
        <w:rPr>
          <w:rFonts w:ascii="Times New Roman" w:hAnsi="Times New Roman" w:cs="Times New Roman"/>
          <w:sz w:val="24"/>
          <w:szCs w:val="24"/>
          <w:shd w:val="clear" w:color="auto" w:fill="FFFFFF"/>
        </w:rPr>
        <w:t>Abdullah Saif, N. (2015). How does Marketing Strategy Influence Firm Performance? Implementation of Marketing Strategy for Firm Success. </w:t>
      </w:r>
      <w:r w:rsidRPr="008C31F8">
        <w:rPr>
          <w:rFonts w:ascii="Times New Roman" w:hAnsi="Times New Roman" w:cs="Times New Roman"/>
          <w:i/>
          <w:iCs/>
          <w:sz w:val="24"/>
          <w:szCs w:val="24"/>
          <w:shd w:val="clear" w:color="auto" w:fill="FFFFFF"/>
        </w:rPr>
        <w:t>International Journal Of Innovation And Economic Development</w:t>
      </w:r>
      <w:r w:rsidRPr="008C31F8">
        <w:rPr>
          <w:rFonts w:ascii="Times New Roman" w:hAnsi="Times New Roman" w:cs="Times New Roman"/>
          <w:sz w:val="24"/>
          <w:szCs w:val="24"/>
          <w:shd w:val="clear" w:color="auto" w:fill="FFFFFF"/>
        </w:rPr>
        <w:t>, </w:t>
      </w:r>
      <w:r w:rsidRPr="008C31F8">
        <w:rPr>
          <w:rFonts w:ascii="Times New Roman" w:hAnsi="Times New Roman" w:cs="Times New Roman"/>
          <w:i/>
          <w:iCs/>
          <w:sz w:val="24"/>
          <w:szCs w:val="24"/>
          <w:shd w:val="clear" w:color="auto" w:fill="FFFFFF"/>
        </w:rPr>
        <w:t>1</w:t>
      </w:r>
      <w:r w:rsidRPr="008C31F8">
        <w:rPr>
          <w:rFonts w:ascii="Times New Roman" w:hAnsi="Times New Roman" w:cs="Times New Roman"/>
          <w:sz w:val="24"/>
          <w:szCs w:val="24"/>
          <w:shd w:val="clear" w:color="auto" w:fill="FFFFFF"/>
        </w:rPr>
        <w:t xml:space="preserve">(3), 7-15. </w:t>
      </w:r>
      <w:hyperlink r:id="rId9" w:history="1">
        <w:r w:rsidRPr="008C31F8">
          <w:rPr>
            <w:rStyle w:val="Hyperlink"/>
            <w:rFonts w:ascii="Times New Roman" w:hAnsi="Times New Roman" w:cs="Times New Roman"/>
            <w:sz w:val="24"/>
            <w:szCs w:val="24"/>
            <w:shd w:val="clear" w:color="auto" w:fill="FFFFFF"/>
          </w:rPr>
          <w:t>https://doi.org/10.18775/ijied.1849-7551-7020.2015.13.2001</w:t>
        </w:r>
      </w:hyperlink>
    </w:p>
    <w:p w:rsidR="008C31F8" w:rsidRPr="008C31F8" w:rsidRDefault="008C31F8" w:rsidP="008C31F8">
      <w:pPr>
        <w:spacing w:line="480" w:lineRule="auto"/>
        <w:ind w:left="720" w:hanging="720"/>
        <w:rPr>
          <w:rFonts w:ascii="Times New Roman" w:hAnsi="Times New Roman" w:cs="Times New Roman"/>
          <w:sz w:val="24"/>
          <w:szCs w:val="24"/>
          <w:shd w:val="clear" w:color="auto" w:fill="FFFFFF"/>
        </w:rPr>
      </w:pPr>
      <w:r w:rsidRPr="008C31F8">
        <w:rPr>
          <w:rFonts w:ascii="Times New Roman" w:hAnsi="Times New Roman" w:cs="Times New Roman"/>
          <w:sz w:val="24"/>
          <w:szCs w:val="24"/>
          <w:shd w:val="clear" w:color="auto" w:fill="FFFFFF"/>
        </w:rPr>
        <w:t>Brandessence market research.(2020). </w:t>
      </w:r>
      <w:r w:rsidRPr="008C31F8">
        <w:rPr>
          <w:rFonts w:ascii="Times New Roman" w:hAnsi="Times New Roman" w:cs="Times New Roman"/>
          <w:i/>
          <w:iCs/>
          <w:sz w:val="24"/>
          <w:szCs w:val="24"/>
          <w:shd w:val="clear" w:color="auto" w:fill="FFFFFF"/>
        </w:rPr>
        <w:t>US Healthcare Consulting Services Market to reach USD 13.64 Billion in 2025, growing at a CAGR of 7.71% from 2019 to 2025. |</w:t>
      </w:r>
      <w:r w:rsidRPr="008C31F8">
        <w:rPr>
          <w:rFonts w:ascii="Times New Roman" w:hAnsi="Times New Roman" w:cs="Times New Roman"/>
          <w:sz w:val="24"/>
          <w:szCs w:val="24"/>
          <w:shd w:val="clear" w:color="auto" w:fill="FFFFFF"/>
        </w:rPr>
        <w:t xml:space="preserve">. Medgadget.Retrieved 23 May 2020, from </w:t>
      </w:r>
      <w:hyperlink r:id="rId10" w:history="1">
        <w:r w:rsidRPr="008C31F8">
          <w:rPr>
            <w:rStyle w:val="Hyperlink"/>
            <w:rFonts w:ascii="Times New Roman" w:hAnsi="Times New Roman" w:cs="Times New Roman"/>
            <w:sz w:val="24"/>
            <w:szCs w:val="24"/>
            <w:shd w:val="clear" w:color="auto" w:fill="FFFFFF"/>
          </w:rPr>
          <w:t>https://www.medgadget.com/2020/02/us-healthcare-consulting-services-market-to-reach-usd-13-64-billion-in-2025-growing-at-a-cagr-of-7-71-from-2019-to-2025.html</w:t>
        </w:r>
      </w:hyperlink>
      <w:r w:rsidRPr="008C31F8">
        <w:rPr>
          <w:rFonts w:ascii="Times New Roman" w:hAnsi="Times New Roman" w:cs="Times New Roman"/>
          <w:sz w:val="24"/>
          <w:szCs w:val="24"/>
          <w:shd w:val="clear" w:color="auto" w:fill="FFFFFF"/>
        </w:rPr>
        <w:t>.</w:t>
      </w:r>
    </w:p>
    <w:p w:rsidR="008C31F8" w:rsidRPr="008C31F8" w:rsidRDefault="008C31F8" w:rsidP="008C31F8">
      <w:pPr>
        <w:spacing w:line="480" w:lineRule="auto"/>
        <w:ind w:left="720" w:hanging="720"/>
        <w:rPr>
          <w:rFonts w:ascii="Times New Roman" w:hAnsi="Times New Roman" w:cs="Times New Roman"/>
          <w:sz w:val="24"/>
          <w:szCs w:val="24"/>
          <w:shd w:val="clear" w:color="auto" w:fill="FFFFFF"/>
        </w:rPr>
      </w:pPr>
      <w:r w:rsidRPr="008C31F8">
        <w:rPr>
          <w:rFonts w:ascii="Times New Roman" w:hAnsi="Times New Roman" w:cs="Times New Roman"/>
          <w:sz w:val="24"/>
          <w:szCs w:val="24"/>
          <w:shd w:val="clear" w:color="auto" w:fill="FFFFFF"/>
        </w:rPr>
        <w:t>DeTienne, D. R. (2010). Entrepreneurial exit as a critical component of the entrepreneurial process: Theoretical development. </w:t>
      </w:r>
      <w:r w:rsidRPr="008C31F8">
        <w:rPr>
          <w:rFonts w:ascii="Times New Roman" w:hAnsi="Times New Roman" w:cs="Times New Roman"/>
          <w:i/>
          <w:iCs/>
          <w:sz w:val="24"/>
          <w:szCs w:val="24"/>
          <w:shd w:val="clear" w:color="auto" w:fill="FFFFFF"/>
        </w:rPr>
        <w:t>Journal of Business Venturing</w:t>
      </w:r>
      <w:r w:rsidRPr="008C31F8">
        <w:rPr>
          <w:rFonts w:ascii="Times New Roman" w:hAnsi="Times New Roman" w:cs="Times New Roman"/>
          <w:sz w:val="24"/>
          <w:szCs w:val="24"/>
          <w:shd w:val="clear" w:color="auto" w:fill="FFFFFF"/>
        </w:rPr>
        <w:t>, </w:t>
      </w:r>
      <w:r w:rsidRPr="008C31F8">
        <w:rPr>
          <w:rFonts w:ascii="Times New Roman" w:hAnsi="Times New Roman" w:cs="Times New Roman"/>
          <w:i/>
          <w:iCs/>
          <w:sz w:val="24"/>
          <w:szCs w:val="24"/>
          <w:shd w:val="clear" w:color="auto" w:fill="FFFFFF"/>
        </w:rPr>
        <w:t>25</w:t>
      </w:r>
      <w:r w:rsidRPr="008C31F8">
        <w:rPr>
          <w:rFonts w:ascii="Times New Roman" w:hAnsi="Times New Roman" w:cs="Times New Roman"/>
          <w:sz w:val="24"/>
          <w:szCs w:val="24"/>
          <w:shd w:val="clear" w:color="auto" w:fill="FFFFFF"/>
        </w:rPr>
        <w:t>(2), 203-215</w:t>
      </w:r>
    </w:p>
    <w:p w:rsidR="008C31F8" w:rsidRPr="008C31F8" w:rsidRDefault="008C31F8" w:rsidP="008C31F8">
      <w:pPr>
        <w:spacing w:line="480" w:lineRule="auto"/>
        <w:ind w:left="720" w:hanging="720"/>
        <w:rPr>
          <w:rFonts w:ascii="Times New Roman" w:hAnsi="Times New Roman" w:cs="Times New Roman"/>
          <w:sz w:val="24"/>
          <w:szCs w:val="24"/>
        </w:rPr>
      </w:pPr>
      <w:r w:rsidRPr="008C31F8">
        <w:rPr>
          <w:rFonts w:ascii="Times New Roman" w:hAnsi="Times New Roman" w:cs="Times New Roman"/>
          <w:sz w:val="24"/>
          <w:szCs w:val="24"/>
          <w:shd w:val="clear" w:color="auto" w:fill="FFFFFF"/>
        </w:rPr>
        <w:t>Florentine, S. (2019). </w:t>
      </w:r>
      <w:r w:rsidRPr="008C31F8">
        <w:rPr>
          <w:rFonts w:ascii="Times New Roman" w:hAnsi="Times New Roman" w:cs="Times New Roman"/>
          <w:i/>
          <w:iCs/>
          <w:sz w:val="24"/>
          <w:szCs w:val="24"/>
          <w:shd w:val="clear" w:color="auto" w:fill="FFFFFF"/>
        </w:rPr>
        <w:t>Employee turnover: 9 reasons good employees leave</w:t>
      </w:r>
      <w:r w:rsidRPr="008C31F8">
        <w:rPr>
          <w:rFonts w:ascii="Times New Roman" w:hAnsi="Times New Roman" w:cs="Times New Roman"/>
          <w:sz w:val="24"/>
          <w:szCs w:val="24"/>
          <w:shd w:val="clear" w:color="auto" w:fill="FFFFFF"/>
        </w:rPr>
        <w:t>. CIO.Retrieved 23 May 2020, from https://www.cio.com/article/2858746/9-reasons-good-employees-leave-and-how-you-can-prevent-it.html.</w:t>
      </w:r>
    </w:p>
    <w:p w:rsidR="008C31F8" w:rsidRPr="008C31F8" w:rsidRDefault="008C31F8" w:rsidP="008C31F8">
      <w:pPr>
        <w:spacing w:line="480" w:lineRule="auto"/>
        <w:ind w:left="720" w:hanging="720"/>
        <w:jc w:val="both"/>
        <w:rPr>
          <w:rFonts w:ascii="Times New Roman" w:hAnsi="Times New Roman" w:cs="Times New Roman"/>
          <w:sz w:val="24"/>
          <w:szCs w:val="24"/>
          <w:shd w:val="clear" w:color="auto" w:fill="FFFFFF"/>
        </w:rPr>
      </w:pPr>
      <w:r w:rsidRPr="008C31F8">
        <w:rPr>
          <w:rFonts w:ascii="Times New Roman" w:hAnsi="Times New Roman" w:cs="Times New Roman"/>
          <w:sz w:val="24"/>
          <w:szCs w:val="24"/>
          <w:shd w:val="clear" w:color="auto" w:fill="FFFFFF"/>
        </w:rPr>
        <w:t>Hughes, J. (2019). </w:t>
      </w:r>
      <w:r w:rsidRPr="008C31F8">
        <w:rPr>
          <w:rFonts w:ascii="Times New Roman" w:hAnsi="Times New Roman" w:cs="Times New Roman"/>
          <w:i/>
          <w:iCs/>
          <w:sz w:val="24"/>
          <w:szCs w:val="24"/>
          <w:shd w:val="clear" w:color="auto" w:fill="FFFFFF"/>
        </w:rPr>
        <w:t>Physician sense</w:t>
      </w:r>
      <w:r w:rsidRPr="008C31F8">
        <w:rPr>
          <w:rFonts w:ascii="Times New Roman" w:hAnsi="Times New Roman" w:cs="Times New Roman"/>
          <w:sz w:val="24"/>
          <w:szCs w:val="24"/>
          <w:shd w:val="clear" w:color="auto" w:fill="FFFFFF"/>
        </w:rPr>
        <w:t xml:space="preserve">.MDLinx.Retrieved 23 May 2020, from </w:t>
      </w:r>
      <w:hyperlink r:id="rId11" w:history="1">
        <w:r w:rsidRPr="008C31F8">
          <w:rPr>
            <w:rStyle w:val="Hyperlink"/>
            <w:rFonts w:ascii="Times New Roman" w:hAnsi="Times New Roman" w:cs="Times New Roman"/>
            <w:sz w:val="24"/>
            <w:szCs w:val="24"/>
            <w:shd w:val="clear" w:color="auto" w:fill="FFFFFF"/>
          </w:rPr>
          <w:t>https://www.mdlinx.com/physiciansense/the-biggest-threats-to-the-healthcare-business-in-the-next-decade/</w:t>
        </w:r>
      </w:hyperlink>
      <w:r w:rsidRPr="008C31F8">
        <w:rPr>
          <w:rFonts w:ascii="Times New Roman" w:hAnsi="Times New Roman" w:cs="Times New Roman"/>
          <w:sz w:val="24"/>
          <w:szCs w:val="24"/>
          <w:shd w:val="clear" w:color="auto" w:fill="FFFFFF"/>
        </w:rPr>
        <w:t>.</w:t>
      </w:r>
    </w:p>
    <w:p w:rsidR="008C31F8" w:rsidRPr="008C31F8" w:rsidRDefault="008C31F8" w:rsidP="008C31F8">
      <w:pPr>
        <w:spacing w:line="480" w:lineRule="auto"/>
        <w:ind w:left="720" w:hanging="720"/>
        <w:rPr>
          <w:rFonts w:ascii="Times New Roman" w:hAnsi="Times New Roman" w:cs="Times New Roman"/>
          <w:sz w:val="24"/>
          <w:szCs w:val="24"/>
          <w:shd w:val="clear" w:color="auto" w:fill="FFFFFF"/>
        </w:rPr>
      </w:pPr>
      <w:r w:rsidRPr="008C31F8">
        <w:rPr>
          <w:rFonts w:ascii="Times New Roman" w:hAnsi="Times New Roman" w:cs="Times New Roman"/>
          <w:sz w:val="24"/>
          <w:szCs w:val="24"/>
          <w:shd w:val="clear" w:color="auto" w:fill="FFFFFF"/>
        </w:rPr>
        <w:t>Malherbe, F. (2015). Optimal capital requirements over the business and financial cycles.</w:t>
      </w:r>
    </w:p>
    <w:p w:rsidR="008C31F8" w:rsidRPr="008C31F8" w:rsidRDefault="008C31F8" w:rsidP="008C31F8">
      <w:pPr>
        <w:spacing w:line="480" w:lineRule="auto"/>
        <w:ind w:left="720" w:hanging="720"/>
        <w:rPr>
          <w:rFonts w:ascii="Times New Roman" w:hAnsi="Times New Roman" w:cs="Times New Roman"/>
          <w:sz w:val="24"/>
          <w:szCs w:val="24"/>
          <w:shd w:val="clear" w:color="auto" w:fill="FFFFFF"/>
        </w:rPr>
      </w:pPr>
      <w:r w:rsidRPr="008C31F8">
        <w:rPr>
          <w:rFonts w:ascii="Times New Roman" w:hAnsi="Times New Roman" w:cs="Times New Roman"/>
          <w:sz w:val="24"/>
          <w:szCs w:val="24"/>
          <w:shd w:val="clear" w:color="auto" w:fill="FFFFFF"/>
        </w:rPr>
        <w:t>Marino, L., &amp; Armstrong, C. (2016). The $10 Business Plan Competition. </w:t>
      </w:r>
      <w:r w:rsidRPr="008C31F8">
        <w:rPr>
          <w:rFonts w:ascii="Times New Roman" w:hAnsi="Times New Roman" w:cs="Times New Roman"/>
          <w:i/>
          <w:iCs/>
          <w:sz w:val="24"/>
          <w:szCs w:val="24"/>
          <w:shd w:val="clear" w:color="auto" w:fill="FFFFFF"/>
        </w:rPr>
        <w:t>Entrepreneur And Innovation Exchange</w:t>
      </w:r>
      <w:r w:rsidRPr="008C31F8">
        <w:rPr>
          <w:rFonts w:ascii="Times New Roman" w:hAnsi="Times New Roman" w:cs="Times New Roman"/>
          <w:sz w:val="24"/>
          <w:szCs w:val="24"/>
          <w:shd w:val="clear" w:color="auto" w:fill="FFFFFF"/>
        </w:rPr>
        <w:t xml:space="preserve">. </w:t>
      </w:r>
      <w:hyperlink r:id="rId12" w:history="1">
        <w:r w:rsidRPr="008C31F8">
          <w:rPr>
            <w:rStyle w:val="Hyperlink"/>
            <w:rFonts w:ascii="Times New Roman" w:hAnsi="Times New Roman" w:cs="Times New Roman"/>
            <w:sz w:val="24"/>
            <w:szCs w:val="24"/>
            <w:shd w:val="clear" w:color="auto" w:fill="FFFFFF"/>
          </w:rPr>
          <w:t>https://doi.org/10.17919/x9959d</w:t>
        </w:r>
      </w:hyperlink>
    </w:p>
    <w:p w:rsidR="00ED145C" w:rsidRPr="008C31F8" w:rsidRDefault="008C31F8" w:rsidP="008C31F8">
      <w:pPr>
        <w:spacing w:line="480" w:lineRule="auto"/>
        <w:ind w:left="720" w:hanging="720"/>
        <w:rPr>
          <w:rFonts w:ascii="Times New Roman" w:hAnsi="Times New Roman" w:cs="Times New Roman"/>
          <w:sz w:val="24"/>
          <w:szCs w:val="24"/>
          <w:shd w:val="clear" w:color="auto" w:fill="FFFFFF"/>
        </w:rPr>
      </w:pPr>
      <w:r w:rsidRPr="008C31F8">
        <w:rPr>
          <w:rFonts w:ascii="Times New Roman" w:hAnsi="Times New Roman" w:cs="Times New Roman"/>
          <w:sz w:val="24"/>
          <w:szCs w:val="24"/>
          <w:shd w:val="clear" w:color="auto" w:fill="FFFFFF"/>
        </w:rPr>
        <w:t>Van Stel, A., &amp; Stunnenberg, V. (2006). Linking business ownership and perceived administrative complexity. </w:t>
      </w:r>
      <w:r w:rsidRPr="008C31F8">
        <w:rPr>
          <w:rFonts w:ascii="Times New Roman" w:hAnsi="Times New Roman" w:cs="Times New Roman"/>
          <w:i/>
          <w:iCs/>
          <w:sz w:val="24"/>
          <w:szCs w:val="24"/>
          <w:shd w:val="clear" w:color="auto" w:fill="FFFFFF"/>
        </w:rPr>
        <w:t>Journal of Small Business and Enterprise Development</w:t>
      </w:r>
      <w:r w:rsidRPr="008C31F8">
        <w:rPr>
          <w:rFonts w:ascii="Times New Roman" w:hAnsi="Times New Roman" w:cs="Times New Roman"/>
          <w:sz w:val="24"/>
          <w:szCs w:val="24"/>
          <w:shd w:val="clear" w:color="auto" w:fill="FFFFFF"/>
        </w:rPr>
        <w:t>.</w:t>
      </w:r>
    </w:p>
    <w:sectPr w:rsidR="00ED145C" w:rsidRPr="008C31F8" w:rsidSect="00F862B7">
      <w:headerReference w:type="default" r:id="rId13"/>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247F" w:rsidRDefault="0096247F" w:rsidP="00A95330">
      <w:pPr>
        <w:spacing w:after="0" w:line="240" w:lineRule="auto"/>
      </w:pPr>
      <w:r>
        <w:separator/>
      </w:r>
    </w:p>
  </w:endnote>
  <w:endnote w:type="continuationSeparator" w:id="1">
    <w:p w:rsidR="0096247F" w:rsidRDefault="0096247F" w:rsidP="00A953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2AEF"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247F" w:rsidRDefault="0096247F" w:rsidP="00A95330">
      <w:pPr>
        <w:spacing w:after="0" w:line="240" w:lineRule="auto"/>
      </w:pPr>
      <w:r>
        <w:separator/>
      </w:r>
    </w:p>
  </w:footnote>
  <w:footnote w:type="continuationSeparator" w:id="1">
    <w:p w:rsidR="0096247F" w:rsidRDefault="0096247F" w:rsidP="00A953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005" w:rsidRPr="008C31F8" w:rsidRDefault="008C31F8" w:rsidP="008C31F8">
    <w:pPr>
      <w:rPr>
        <w:rFonts w:ascii="Times New Roman" w:hAnsi="Times New Roman" w:cs="Times New Roman"/>
        <w:sz w:val="24"/>
        <w:szCs w:val="24"/>
      </w:rPr>
    </w:pPr>
    <w:r w:rsidRPr="008C31F8">
      <w:rPr>
        <w:rFonts w:ascii="Times New Roman" w:hAnsi="Times New Roman" w:cs="Times New Roman"/>
        <w:sz w:val="24"/>
        <w:szCs w:val="24"/>
      </w:rPr>
      <w:t xml:space="preserve">CONSULTING FIRM </w:t>
    </w:r>
    <w:r w:rsidRPr="008C31F8">
      <w:rPr>
        <w:rFonts w:ascii="Times New Roman" w:hAnsi="Times New Roman" w:cs="Times New Roman"/>
        <w:sz w:val="24"/>
        <w:szCs w:val="24"/>
        <w:lang w:val="en-GB"/>
      </w:rPr>
      <w:t>STRATEGIC ANALYSIS</w:t>
    </w:r>
    <w:r w:rsidRPr="008C31F8">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1</w:t>
    </w:r>
    <w:r w:rsidRPr="008C31F8">
      <w:rPr>
        <w:rFonts w:ascii="Times New Roman" w:hAnsi="Times New Roman" w:cs="Times New Roman"/>
        <w:sz w:val="24"/>
        <w:szCs w:val="24"/>
        <w:lang w:val="en-GB"/>
      </w:rPr>
      <w:tab/>
    </w:r>
    <w:r w:rsidRPr="008C31F8">
      <w:rPr>
        <w:rFonts w:ascii="Times New Roman" w:hAnsi="Times New Roman" w:cs="Times New Roman"/>
        <w:sz w:val="24"/>
        <w:szCs w:val="24"/>
        <w:lang w:val="en-GB"/>
      </w:rPr>
      <w:tab/>
    </w:r>
    <w:r w:rsidRPr="008C31F8">
      <w:rPr>
        <w:rFonts w:ascii="Times New Roman" w:hAnsi="Times New Roman" w:cs="Times New Roman"/>
        <w:sz w:val="24"/>
        <w:szCs w:val="24"/>
        <w:lang w:val="en-GB"/>
      </w:rPr>
      <w:tab/>
    </w:r>
    <w:r w:rsidRPr="008C31F8">
      <w:rPr>
        <w:rFonts w:ascii="Times New Roman" w:hAnsi="Times New Roman" w:cs="Times New Roman"/>
        <w:sz w:val="24"/>
        <w:szCs w:val="24"/>
        <w:lang w:val="en-GB"/>
      </w:rPr>
      <w:tab/>
    </w:r>
    <w:r w:rsidRPr="008C31F8">
      <w:rPr>
        <w:rFonts w:ascii="Times New Roman" w:hAnsi="Times New Roman" w:cs="Times New Roman"/>
        <w:sz w:val="24"/>
        <w:szCs w:val="24"/>
        <w:lang w:val="en-GB"/>
      </w:rPr>
      <w:tab/>
    </w:r>
  </w:p>
  <w:p w:rsidR="006B6005" w:rsidRPr="008C31F8" w:rsidRDefault="006B600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2B7" w:rsidRDefault="0096247F">
    <w:r w:rsidRPr="008C31F8">
      <w:rPr>
        <w:rFonts w:ascii="Times New Roman" w:hAnsi="Times New Roman" w:cs="Times New Roman"/>
        <w:sz w:val="24"/>
        <w:szCs w:val="24"/>
      </w:rPr>
      <w:t>CONSULTING FIRM S</w:t>
    </w:r>
    <w:r w:rsidRPr="008C31F8">
      <w:rPr>
        <w:rFonts w:ascii="Times New Roman" w:hAnsi="Times New Roman" w:cs="Times New Roman"/>
        <w:sz w:val="24"/>
        <w:szCs w:val="24"/>
        <w:lang w:val="en-GB"/>
      </w:rPr>
      <w:t>TRATEGIC</w:t>
    </w:r>
    <w:r w:rsidRPr="008C31F8">
      <w:rPr>
        <w:rFonts w:ascii="Times New Roman" w:hAnsi="Times New Roman" w:cs="Times New Roman"/>
        <w:sz w:val="24"/>
        <w:szCs w:val="24"/>
      </w:rPr>
      <w:t xml:space="preserve"> ANALYSIS</w:t>
    </w:r>
    <w:r>
      <w:tab/>
    </w:r>
    <w:r w:rsidR="008C31F8">
      <w:tab/>
    </w:r>
    <w:r>
      <w:tab/>
    </w:r>
    <w:r>
      <w:tab/>
    </w:r>
    <w:r>
      <w:tab/>
    </w:r>
    <w:r>
      <w:tab/>
      <w:t>2</w:t>
    </w:r>
  </w:p>
  <w:p w:rsidR="00F862B7" w:rsidRDefault="0096247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E55290"/>
    <w:multiLevelType w:val="hybridMultilevel"/>
    <w:tmpl w:val="5CEADD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YzMDUytDC2tDA2sjBS0lEKTi0uzszPAykwqQUAaZHR+CwAAAA="/>
  </w:docVars>
  <w:rsids>
    <w:rsidRoot w:val="00322782"/>
    <w:rsid w:val="00006AA1"/>
    <w:rsid w:val="00012949"/>
    <w:rsid w:val="000162B9"/>
    <w:rsid w:val="000177F7"/>
    <w:rsid w:val="000214B5"/>
    <w:rsid w:val="00021DC2"/>
    <w:rsid w:val="00031028"/>
    <w:rsid w:val="0005357D"/>
    <w:rsid w:val="00054EA0"/>
    <w:rsid w:val="000834A5"/>
    <w:rsid w:val="00085419"/>
    <w:rsid w:val="0009246D"/>
    <w:rsid w:val="0009321D"/>
    <w:rsid w:val="0009780E"/>
    <w:rsid w:val="000A2207"/>
    <w:rsid w:val="000B74BB"/>
    <w:rsid w:val="000C01FB"/>
    <w:rsid w:val="000C10DC"/>
    <w:rsid w:val="000C5066"/>
    <w:rsid w:val="000D00F4"/>
    <w:rsid w:val="000E7DFB"/>
    <w:rsid w:val="000F48B7"/>
    <w:rsid w:val="00120811"/>
    <w:rsid w:val="00143558"/>
    <w:rsid w:val="00151201"/>
    <w:rsid w:val="00165E58"/>
    <w:rsid w:val="00173D5F"/>
    <w:rsid w:val="00197AA2"/>
    <w:rsid w:val="001A090A"/>
    <w:rsid w:val="001B6F3F"/>
    <w:rsid w:val="001C6539"/>
    <w:rsid w:val="001D1534"/>
    <w:rsid w:val="001D6799"/>
    <w:rsid w:val="001E57B1"/>
    <w:rsid w:val="001E64FB"/>
    <w:rsid w:val="001E68D1"/>
    <w:rsid w:val="001F4B5D"/>
    <w:rsid w:val="001F5247"/>
    <w:rsid w:val="00200AF5"/>
    <w:rsid w:val="00210D1C"/>
    <w:rsid w:val="00215244"/>
    <w:rsid w:val="00234B00"/>
    <w:rsid w:val="0023650B"/>
    <w:rsid w:val="002406A1"/>
    <w:rsid w:val="00240A48"/>
    <w:rsid w:val="00246492"/>
    <w:rsid w:val="00260ABA"/>
    <w:rsid w:val="00261AAB"/>
    <w:rsid w:val="00276382"/>
    <w:rsid w:val="0027769D"/>
    <w:rsid w:val="00280217"/>
    <w:rsid w:val="00297EF8"/>
    <w:rsid w:val="002A06A5"/>
    <w:rsid w:val="002A334D"/>
    <w:rsid w:val="002A613F"/>
    <w:rsid w:val="002A6CBF"/>
    <w:rsid w:val="002B0C5A"/>
    <w:rsid w:val="002B4DF2"/>
    <w:rsid w:val="002B55D2"/>
    <w:rsid w:val="002C020E"/>
    <w:rsid w:val="002C3A9F"/>
    <w:rsid w:val="002C58F3"/>
    <w:rsid w:val="002D6A21"/>
    <w:rsid w:val="002E324F"/>
    <w:rsid w:val="002E6841"/>
    <w:rsid w:val="002E728E"/>
    <w:rsid w:val="002F03ED"/>
    <w:rsid w:val="002F1C57"/>
    <w:rsid w:val="002F3517"/>
    <w:rsid w:val="003021E0"/>
    <w:rsid w:val="00310202"/>
    <w:rsid w:val="003162BE"/>
    <w:rsid w:val="00322782"/>
    <w:rsid w:val="00331576"/>
    <w:rsid w:val="003341FD"/>
    <w:rsid w:val="00340263"/>
    <w:rsid w:val="00342CD0"/>
    <w:rsid w:val="0034454C"/>
    <w:rsid w:val="0034676C"/>
    <w:rsid w:val="003475DB"/>
    <w:rsid w:val="00350207"/>
    <w:rsid w:val="0035146E"/>
    <w:rsid w:val="00364A54"/>
    <w:rsid w:val="00365143"/>
    <w:rsid w:val="00371882"/>
    <w:rsid w:val="0037208B"/>
    <w:rsid w:val="003761FF"/>
    <w:rsid w:val="00393A3B"/>
    <w:rsid w:val="00394DD2"/>
    <w:rsid w:val="003A01FB"/>
    <w:rsid w:val="003A6A70"/>
    <w:rsid w:val="003B79F7"/>
    <w:rsid w:val="003C1711"/>
    <w:rsid w:val="003C2A1E"/>
    <w:rsid w:val="003C42D8"/>
    <w:rsid w:val="003D310B"/>
    <w:rsid w:val="003F79B5"/>
    <w:rsid w:val="0040086E"/>
    <w:rsid w:val="004459B8"/>
    <w:rsid w:val="00450B9B"/>
    <w:rsid w:val="00461433"/>
    <w:rsid w:val="00473618"/>
    <w:rsid w:val="00476420"/>
    <w:rsid w:val="00481011"/>
    <w:rsid w:val="004840CB"/>
    <w:rsid w:val="00493CA3"/>
    <w:rsid w:val="004E0434"/>
    <w:rsid w:val="004E0ED3"/>
    <w:rsid w:val="004E135F"/>
    <w:rsid w:val="004E5AAA"/>
    <w:rsid w:val="004E7A37"/>
    <w:rsid w:val="004F2C8F"/>
    <w:rsid w:val="004F3F03"/>
    <w:rsid w:val="004F7155"/>
    <w:rsid w:val="00503CB5"/>
    <w:rsid w:val="00505653"/>
    <w:rsid w:val="00506118"/>
    <w:rsid w:val="00506183"/>
    <w:rsid w:val="00506529"/>
    <w:rsid w:val="0051042A"/>
    <w:rsid w:val="0051612A"/>
    <w:rsid w:val="00524A36"/>
    <w:rsid w:val="0052720F"/>
    <w:rsid w:val="0053003D"/>
    <w:rsid w:val="0055220A"/>
    <w:rsid w:val="005711F3"/>
    <w:rsid w:val="00574917"/>
    <w:rsid w:val="005800C2"/>
    <w:rsid w:val="00582A7E"/>
    <w:rsid w:val="005A0BC6"/>
    <w:rsid w:val="005A7785"/>
    <w:rsid w:val="005B0E7E"/>
    <w:rsid w:val="005B4FF8"/>
    <w:rsid w:val="005C2B9B"/>
    <w:rsid w:val="005C3C16"/>
    <w:rsid w:val="005C6AC9"/>
    <w:rsid w:val="005D3CEB"/>
    <w:rsid w:val="005E4EEB"/>
    <w:rsid w:val="005E684B"/>
    <w:rsid w:val="00601DC2"/>
    <w:rsid w:val="00610D2C"/>
    <w:rsid w:val="006311B7"/>
    <w:rsid w:val="00633988"/>
    <w:rsid w:val="00650997"/>
    <w:rsid w:val="006625D0"/>
    <w:rsid w:val="00677AE9"/>
    <w:rsid w:val="00685A82"/>
    <w:rsid w:val="006910E4"/>
    <w:rsid w:val="0069187B"/>
    <w:rsid w:val="006962AC"/>
    <w:rsid w:val="00697AF2"/>
    <w:rsid w:val="006B272E"/>
    <w:rsid w:val="006B5B41"/>
    <w:rsid w:val="006B6005"/>
    <w:rsid w:val="006D199E"/>
    <w:rsid w:val="006D5177"/>
    <w:rsid w:val="006D7280"/>
    <w:rsid w:val="006D77F6"/>
    <w:rsid w:val="006E3705"/>
    <w:rsid w:val="006E4E1E"/>
    <w:rsid w:val="006E745F"/>
    <w:rsid w:val="006F5E9D"/>
    <w:rsid w:val="006F6F6A"/>
    <w:rsid w:val="00720BA4"/>
    <w:rsid w:val="007464B8"/>
    <w:rsid w:val="007468E7"/>
    <w:rsid w:val="00747B84"/>
    <w:rsid w:val="007554ED"/>
    <w:rsid w:val="00765AE4"/>
    <w:rsid w:val="00767DAF"/>
    <w:rsid w:val="00770CC7"/>
    <w:rsid w:val="007723D1"/>
    <w:rsid w:val="0077327E"/>
    <w:rsid w:val="00782957"/>
    <w:rsid w:val="00794C9E"/>
    <w:rsid w:val="0079548F"/>
    <w:rsid w:val="007B5961"/>
    <w:rsid w:val="007B7F18"/>
    <w:rsid w:val="007D41F7"/>
    <w:rsid w:val="007E052F"/>
    <w:rsid w:val="007E0CD8"/>
    <w:rsid w:val="007E1FCD"/>
    <w:rsid w:val="007E32CA"/>
    <w:rsid w:val="007F3FAE"/>
    <w:rsid w:val="007F6432"/>
    <w:rsid w:val="0080470C"/>
    <w:rsid w:val="00820035"/>
    <w:rsid w:val="00823C0E"/>
    <w:rsid w:val="0083283C"/>
    <w:rsid w:val="00833321"/>
    <w:rsid w:val="00840855"/>
    <w:rsid w:val="00841C91"/>
    <w:rsid w:val="0084348B"/>
    <w:rsid w:val="00844A6C"/>
    <w:rsid w:val="00845176"/>
    <w:rsid w:val="00853CCD"/>
    <w:rsid w:val="0086283D"/>
    <w:rsid w:val="0087399A"/>
    <w:rsid w:val="0088491C"/>
    <w:rsid w:val="008949CA"/>
    <w:rsid w:val="008A5C75"/>
    <w:rsid w:val="008A5F67"/>
    <w:rsid w:val="008A6B82"/>
    <w:rsid w:val="008B07DF"/>
    <w:rsid w:val="008B1E3C"/>
    <w:rsid w:val="008B7CB3"/>
    <w:rsid w:val="008C31F8"/>
    <w:rsid w:val="008C76CB"/>
    <w:rsid w:val="008D567F"/>
    <w:rsid w:val="008E5181"/>
    <w:rsid w:val="008E7CAC"/>
    <w:rsid w:val="008F1F14"/>
    <w:rsid w:val="008F2FC0"/>
    <w:rsid w:val="008F6655"/>
    <w:rsid w:val="00900C4C"/>
    <w:rsid w:val="0090533A"/>
    <w:rsid w:val="00905EC0"/>
    <w:rsid w:val="00910BB2"/>
    <w:rsid w:val="00915AB4"/>
    <w:rsid w:val="00916E69"/>
    <w:rsid w:val="00920571"/>
    <w:rsid w:val="00921ED8"/>
    <w:rsid w:val="00937760"/>
    <w:rsid w:val="0095399C"/>
    <w:rsid w:val="0096247F"/>
    <w:rsid w:val="00974587"/>
    <w:rsid w:val="00975B02"/>
    <w:rsid w:val="009801D6"/>
    <w:rsid w:val="00993E72"/>
    <w:rsid w:val="00996E4B"/>
    <w:rsid w:val="009A1FD8"/>
    <w:rsid w:val="009B5F68"/>
    <w:rsid w:val="009D059D"/>
    <w:rsid w:val="009D28D2"/>
    <w:rsid w:val="009D6C48"/>
    <w:rsid w:val="009D75C0"/>
    <w:rsid w:val="009E2E0D"/>
    <w:rsid w:val="009F3119"/>
    <w:rsid w:val="009F369B"/>
    <w:rsid w:val="009F657A"/>
    <w:rsid w:val="00A07395"/>
    <w:rsid w:val="00A1186A"/>
    <w:rsid w:val="00A12697"/>
    <w:rsid w:val="00A20E15"/>
    <w:rsid w:val="00A23803"/>
    <w:rsid w:val="00A23C07"/>
    <w:rsid w:val="00A35B77"/>
    <w:rsid w:val="00A50351"/>
    <w:rsid w:val="00A5731E"/>
    <w:rsid w:val="00A743A1"/>
    <w:rsid w:val="00A80AD7"/>
    <w:rsid w:val="00A84483"/>
    <w:rsid w:val="00A95330"/>
    <w:rsid w:val="00AA25D8"/>
    <w:rsid w:val="00AA5ABB"/>
    <w:rsid w:val="00AC6817"/>
    <w:rsid w:val="00AE0575"/>
    <w:rsid w:val="00AE091D"/>
    <w:rsid w:val="00AE3008"/>
    <w:rsid w:val="00AE3370"/>
    <w:rsid w:val="00B040EC"/>
    <w:rsid w:val="00B15078"/>
    <w:rsid w:val="00B20E57"/>
    <w:rsid w:val="00B23EF4"/>
    <w:rsid w:val="00B406B0"/>
    <w:rsid w:val="00B42DFF"/>
    <w:rsid w:val="00B42FC9"/>
    <w:rsid w:val="00B440CD"/>
    <w:rsid w:val="00B447EE"/>
    <w:rsid w:val="00B5084A"/>
    <w:rsid w:val="00B51320"/>
    <w:rsid w:val="00B6240A"/>
    <w:rsid w:val="00B6339C"/>
    <w:rsid w:val="00B712B2"/>
    <w:rsid w:val="00B76FDC"/>
    <w:rsid w:val="00B80E2C"/>
    <w:rsid w:val="00B81FB7"/>
    <w:rsid w:val="00B855E0"/>
    <w:rsid w:val="00B90A4F"/>
    <w:rsid w:val="00B9173B"/>
    <w:rsid w:val="00B94CA8"/>
    <w:rsid w:val="00B975E3"/>
    <w:rsid w:val="00BA0242"/>
    <w:rsid w:val="00BA16EB"/>
    <w:rsid w:val="00BC6891"/>
    <w:rsid w:val="00BD5FDC"/>
    <w:rsid w:val="00BE1BA2"/>
    <w:rsid w:val="00BF650F"/>
    <w:rsid w:val="00BF68E7"/>
    <w:rsid w:val="00C02624"/>
    <w:rsid w:val="00C27A49"/>
    <w:rsid w:val="00C32A80"/>
    <w:rsid w:val="00C37B25"/>
    <w:rsid w:val="00C45B72"/>
    <w:rsid w:val="00C45BA2"/>
    <w:rsid w:val="00C54D77"/>
    <w:rsid w:val="00C63462"/>
    <w:rsid w:val="00C670FA"/>
    <w:rsid w:val="00C76CA5"/>
    <w:rsid w:val="00C806F6"/>
    <w:rsid w:val="00C82C82"/>
    <w:rsid w:val="00CA157D"/>
    <w:rsid w:val="00CA2ADE"/>
    <w:rsid w:val="00CA7A8B"/>
    <w:rsid w:val="00CC0CE3"/>
    <w:rsid w:val="00CC7E0F"/>
    <w:rsid w:val="00CE11DE"/>
    <w:rsid w:val="00CE2D6F"/>
    <w:rsid w:val="00D007AD"/>
    <w:rsid w:val="00D15491"/>
    <w:rsid w:val="00D21118"/>
    <w:rsid w:val="00D277C3"/>
    <w:rsid w:val="00D34904"/>
    <w:rsid w:val="00D3700F"/>
    <w:rsid w:val="00D541CC"/>
    <w:rsid w:val="00D67B37"/>
    <w:rsid w:val="00D73544"/>
    <w:rsid w:val="00D73CF4"/>
    <w:rsid w:val="00D800F9"/>
    <w:rsid w:val="00D81BF4"/>
    <w:rsid w:val="00D833AD"/>
    <w:rsid w:val="00D91278"/>
    <w:rsid w:val="00D9213E"/>
    <w:rsid w:val="00D93708"/>
    <w:rsid w:val="00D95871"/>
    <w:rsid w:val="00DA2F40"/>
    <w:rsid w:val="00DB7E3E"/>
    <w:rsid w:val="00DC52F1"/>
    <w:rsid w:val="00DC6B25"/>
    <w:rsid w:val="00DD5F55"/>
    <w:rsid w:val="00DE2599"/>
    <w:rsid w:val="00DE7B4B"/>
    <w:rsid w:val="00DF27D0"/>
    <w:rsid w:val="00E16929"/>
    <w:rsid w:val="00E176CC"/>
    <w:rsid w:val="00E42C11"/>
    <w:rsid w:val="00E61F78"/>
    <w:rsid w:val="00E6256F"/>
    <w:rsid w:val="00E65FBA"/>
    <w:rsid w:val="00E728ED"/>
    <w:rsid w:val="00E74203"/>
    <w:rsid w:val="00E76993"/>
    <w:rsid w:val="00E816F5"/>
    <w:rsid w:val="00E87AF9"/>
    <w:rsid w:val="00E900ED"/>
    <w:rsid w:val="00E91CE8"/>
    <w:rsid w:val="00E92FE6"/>
    <w:rsid w:val="00E9357E"/>
    <w:rsid w:val="00E939E8"/>
    <w:rsid w:val="00E942D8"/>
    <w:rsid w:val="00E95760"/>
    <w:rsid w:val="00EA45A6"/>
    <w:rsid w:val="00EB1055"/>
    <w:rsid w:val="00EB6AB9"/>
    <w:rsid w:val="00EB7CF0"/>
    <w:rsid w:val="00EC7D67"/>
    <w:rsid w:val="00ED145C"/>
    <w:rsid w:val="00EF0FCC"/>
    <w:rsid w:val="00F02A91"/>
    <w:rsid w:val="00F04B8C"/>
    <w:rsid w:val="00F04D51"/>
    <w:rsid w:val="00F1508F"/>
    <w:rsid w:val="00F36373"/>
    <w:rsid w:val="00F44752"/>
    <w:rsid w:val="00F47CF3"/>
    <w:rsid w:val="00F5085A"/>
    <w:rsid w:val="00F5217D"/>
    <w:rsid w:val="00F54EEA"/>
    <w:rsid w:val="00F61245"/>
    <w:rsid w:val="00F63282"/>
    <w:rsid w:val="00F66121"/>
    <w:rsid w:val="00F70C9A"/>
    <w:rsid w:val="00F826EF"/>
    <w:rsid w:val="00F95E00"/>
    <w:rsid w:val="00FA289C"/>
    <w:rsid w:val="00FC54DE"/>
    <w:rsid w:val="00FE4857"/>
    <w:rsid w:val="00FE5DFE"/>
    <w:rsid w:val="00FE698C"/>
    <w:rsid w:val="00FE6AAF"/>
    <w:rsid w:val="00FE77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C5A"/>
  </w:style>
  <w:style w:type="paragraph" w:styleId="Heading1">
    <w:name w:val="heading 1"/>
    <w:basedOn w:val="Normal"/>
    <w:next w:val="Normal"/>
    <w:link w:val="Heading1Char"/>
    <w:uiPriority w:val="9"/>
    <w:qFormat/>
    <w:rsid w:val="005B0E7E"/>
    <w:pPr>
      <w:spacing w:after="120" w:line="240" w:lineRule="auto"/>
      <w:outlineLvl w:val="0"/>
    </w:pPr>
    <w:rPr>
      <w:rFonts w:ascii="Arial" w:eastAsia="Calibri" w:hAnsi="Arial" w:cs="Times New Roman"/>
      <w:sz w:val="28"/>
      <w:lang w:val="en-GB"/>
    </w:rPr>
  </w:style>
  <w:style w:type="paragraph" w:styleId="Heading2">
    <w:name w:val="heading 2"/>
    <w:basedOn w:val="MediumGrid21"/>
    <w:next w:val="Normal"/>
    <w:link w:val="Heading2Char"/>
    <w:qFormat/>
    <w:rsid w:val="005B0E7E"/>
    <w:pPr>
      <w:outlineLvl w:val="1"/>
    </w:pPr>
    <w:rPr>
      <w:rFonts w:ascii="Arial" w:hAnsi="Arial" w:cs="Calibri"/>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997"/>
    <w:pPr>
      <w:ind w:left="720"/>
      <w:contextualSpacing/>
    </w:pPr>
  </w:style>
  <w:style w:type="table" w:styleId="TableGrid">
    <w:name w:val="Table Grid"/>
    <w:basedOn w:val="TableNormal"/>
    <w:uiPriority w:val="59"/>
    <w:rsid w:val="00CE11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953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5330"/>
  </w:style>
  <w:style w:type="paragraph" w:styleId="Footer">
    <w:name w:val="footer"/>
    <w:basedOn w:val="Normal"/>
    <w:link w:val="FooterChar"/>
    <w:uiPriority w:val="99"/>
    <w:unhideWhenUsed/>
    <w:rsid w:val="00A953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5330"/>
  </w:style>
  <w:style w:type="character" w:customStyle="1" w:styleId="Heading1Char">
    <w:name w:val="Heading 1 Char"/>
    <w:basedOn w:val="DefaultParagraphFont"/>
    <w:link w:val="Heading1"/>
    <w:uiPriority w:val="9"/>
    <w:rsid w:val="005B0E7E"/>
    <w:rPr>
      <w:rFonts w:ascii="Arial" w:eastAsia="Calibri" w:hAnsi="Arial" w:cs="Times New Roman"/>
      <w:sz w:val="28"/>
      <w:lang w:val="en-GB"/>
    </w:rPr>
  </w:style>
  <w:style w:type="character" w:customStyle="1" w:styleId="Heading2Char">
    <w:name w:val="Heading 2 Char"/>
    <w:basedOn w:val="DefaultParagraphFont"/>
    <w:link w:val="Heading2"/>
    <w:rsid w:val="005B0E7E"/>
    <w:rPr>
      <w:rFonts w:ascii="Arial" w:eastAsia="Calibri" w:hAnsi="Arial" w:cs="Calibri"/>
      <w:sz w:val="24"/>
      <w:szCs w:val="28"/>
      <w:lang w:val="en-GB"/>
    </w:rPr>
  </w:style>
  <w:style w:type="paragraph" w:customStyle="1" w:styleId="MediumGrid21">
    <w:name w:val="Medium Grid 21"/>
    <w:uiPriority w:val="1"/>
    <w:qFormat/>
    <w:rsid w:val="005B0E7E"/>
    <w:pPr>
      <w:spacing w:after="0" w:line="240" w:lineRule="auto"/>
    </w:pPr>
    <w:rPr>
      <w:rFonts w:ascii="Calibri" w:eastAsia="Calibri" w:hAnsi="Calibri" w:cs="Times New Roman"/>
      <w:lang w:val="en-GB"/>
    </w:rPr>
  </w:style>
  <w:style w:type="character" w:styleId="Hyperlink">
    <w:name w:val="Hyperlink"/>
    <w:basedOn w:val="DefaultParagraphFont"/>
    <w:uiPriority w:val="99"/>
    <w:rsid w:val="008C31F8"/>
    <w:rPr>
      <w:color w:val="0000FF"/>
      <w:u w:val="single"/>
    </w:rPr>
  </w:style>
</w:styles>
</file>

<file path=word/webSettings.xml><?xml version="1.0" encoding="utf-8"?>
<w:webSettings xmlns:r="http://schemas.openxmlformats.org/officeDocument/2006/relationships" xmlns:w="http://schemas.openxmlformats.org/wordprocessingml/2006/main">
  <w:divs>
    <w:div w:id="665135880">
      <w:bodyDiv w:val="1"/>
      <w:marLeft w:val="0"/>
      <w:marRight w:val="0"/>
      <w:marTop w:val="0"/>
      <w:marBottom w:val="0"/>
      <w:divBdr>
        <w:top w:val="none" w:sz="0" w:space="0" w:color="auto"/>
        <w:left w:val="none" w:sz="0" w:space="0" w:color="auto"/>
        <w:bottom w:val="none" w:sz="0" w:space="0" w:color="auto"/>
        <w:right w:val="none" w:sz="0" w:space="0" w:color="auto"/>
      </w:divBdr>
    </w:div>
    <w:div w:id="1276516847">
      <w:bodyDiv w:val="1"/>
      <w:marLeft w:val="0"/>
      <w:marRight w:val="0"/>
      <w:marTop w:val="0"/>
      <w:marBottom w:val="0"/>
      <w:divBdr>
        <w:top w:val="none" w:sz="0" w:space="0" w:color="auto"/>
        <w:left w:val="none" w:sz="0" w:space="0" w:color="auto"/>
        <w:bottom w:val="none" w:sz="0" w:space="0" w:color="auto"/>
        <w:right w:val="none" w:sz="0" w:space="0" w:color="auto"/>
      </w:divBdr>
    </w:div>
    <w:div w:id="161127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7919/x9959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dlinx.com/physiciansense/the-biggest-threats-to-the-healthcare-business-in-the-next-deca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edgadget.com/2020/02/us-healthcare-consulting-services-market-to-reach-usd-13-64-billion-in-2025-growing-at-a-cagr-of-7-71-from-2019-to-2025.html" TargetMode="External"/><Relationship Id="rId4" Type="http://schemas.openxmlformats.org/officeDocument/2006/relationships/settings" Target="settings.xml"/><Relationship Id="rId9" Type="http://schemas.openxmlformats.org/officeDocument/2006/relationships/hyperlink" Target="https://doi.org/10.18775/ijied.1849-7551-7020.2015.13.200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7E418-F754-4313-B19F-8CB4B90A4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2373</Words>
  <Characters>13530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 Gisore</cp:lastModifiedBy>
  <cp:revision>2</cp:revision>
  <dcterms:created xsi:type="dcterms:W3CDTF">2020-05-28T19:17:00Z</dcterms:created>
  <dcterms:modified xsi:type="dcterms:W3CDTF">2020-05-28T19:17:00Z</dcterms:modified>
</cp:coreProperties>
</file>